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11FD" w:rsidRPr="00ED6F97" w:rsidRDefault="00DB11FD" w:rsidP="00C71731">
      <w:pPr>
        <w:rPr>
          <w:rFonts w:ascii="Times New Roman" w:hAnsi="Times New Roman" w:cs="Times New Roman"/>
          <w:b/>
          <w:sz w:val="24"/>
          <w:szCs w:val="24"/>
        </w:rPr>
      </w:pPr>
      <w:r w:rsidRPr="00ED6F9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BCA1174" wp14:editId="320C52A7">
                <wp:simplePos x="0" y="0"/>
                <wp:positionH relativeFrom="column">
                  <wp:posOffset>1400175</wp:posOffset>
                </wp:positionH>
                <wp:positionV relativeFrom="paragraph">
                  <wp:posOffset>104775</wp:posOffset>
                </wp:positionV>
                <wp:extent cx="4238460" cy="616313"/>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460" cy="616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1FD" w:rsidRPr="00DB11FD" w:rsidRDefault="00DB11FD" w:rsidP="00DB11FD">
                            <w:pPr>
                              <w:pStyle w:val="NormalWeb"/>
                              <w:kinsoku w:val="0"/>
                              <w:overflowPunct w:val="0"/>
                              <w:spacing w:before="0" w:beforeAutospacing="0" w:after="0" w:afterAutospacing="0"/>
                              <w:jc w:val="center"/>
                              <w:rPr>
                                <w:sz w:val="18"/>
                              </w:rPr>
                            </w:pPr>
                            <w:r w:rsidRPr="00DB11FD">
                              <w:rPr>
                                <w:rFonts w:cstheme="minorBidi"/>
                                <w:b/>
                                <w:bCs/>
                                <w:color w:val="000080"/>
                                <w:kern w:val="24"/>
                                <w:sz w:val="28"/>
                                <w:szCs w:val="40"/>
                              </w:rPr>
                              <w:t>DEPARTMENT of CHILDREN and FAMILIES</w:t>
                            </w:r>
                          </w:p>
                          <w:p w:rsidR="00DB11FD" w:rsidRPr="00DB11FD" w:rsidRDefault="00DB11FD" w:rsidP="00DB11FD">
                            <w:pPr>
                              <w:pStyle w:val="NormalWeb"/>
                              <w:kinsoku w:val="0"/>
                              <w:overflowPunct w:val="0"/>
                              <w:spacing w:before="0" w:beforeAutospacing="0" w:after="0" w:afterAutospacing="0"/>
                              <w:jc w:val="center"/>
                              <w:rPr>
                                <w:sz w:val="20"/>
                              </w:rPr>
                            </w:pPr>
                            <w:r w:rsidRPr="00DB11FD">
                              <w:rPr>
                                <w:rFonts w:cstheme="minorBidi"/>
                                <w:i/>
                                <w:iCs/>
                                <w:color w:val="000080"/>
                                <w:kern w:val="24"/>
                                <w:szCs w:val="32"/>
                              </w:rPr>
                              <w:t>Making a Difference for Children, Families and Communities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BCA1174" id="_x0000_t202" coordsize="21600,21600" o:spt="202" path="m,l,21600r21600,l21600,xe">
                <v:stroke joinstyle="miter"/>
                <v:path gradientshapeok="t" o:connecttype="rect"/>
              </v:shapetype>
              <v:shape id="Text Box 8" o:spid="_x0000_s1026" type="#_x0000_t202" style="position:absolute;margin-left:110.25pt;margin-top:8.25pt;width:333.7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" stroked="f">
                <v:textbox>
                  <w:txbxContent>
                    <w:p w:rsidR="00DB11FD" w:rsidRPr="00DB11FD" w:rsidRDefault="00DB11FD" w:rsidP="00DB11FD">
                      <w:pPr>
                        <w:pStyle w:val="NormalWeb"/>
                        <w:kinsoku w:val="0"/>
                        <w:overflowPunct w:val="0"/>
                        <w:spacing w:before="0" w:beforeAutospacing="0" w:after="0" w:afterAutospacing="0"/>
                        <w:jc w:val="center"/>
                        <w:rPr>
                          <w:sz w:val="18"/>
                        </w:rPr>
                      </w:pPr>
                      <w:r w:rsidRPr="00DB11FD">
                        <w:rPr>
                          <w:rFonts w:cstheme="minorBidi"/>
                          <w:b/>
                          <w:bCs/>
                          <w:color w:val="000080"/>
                          <w:kern w:val="24"/>
                          <w:sz w:val="28"/>
                          <w:szCs w:val="40"/>
                        </w:rPr>
                        <w:t>DEPARTMENT of CHILDREN and FAMILIES</w:t>
                      </w:r>
                    </w:p>
                    <w:p w:rsidR="00DB11FD" w:rsidRPr="00DB11FD" w:rsidRDefault="00DB11FD" w:rsidP="00DB11FD">
                      <w:pPr>
                        <w:pStyle w:val="NormalWeb"/>
                        <w:kinsoku w:val="0"/>
                        <w:overflowPunct w:val="0"/>
                        <w:spacing w:before="0" w:beforeAutospacing="0" w:after="0" w:afterAutospacing="0"/>
                        <w:jc w:val="center"/>
                        <w:rPr>
                          <w:sz w:val="20"/>
                        </w:rPr>
                      </w:pPr>
                      <w:r w:rsidRPr="00DB11FD">
                        <w:rPr>
                          <w:rFonts w:cstheme="minorBidi"/>
                          <w:i/>
                          <w:iCs/>
                          <w:color w:val="000080"/>
                          <w:kern w:val="24"/>
                          <w:szCs w:val="32"/>
                        </w:rPr>
                        <w:t>Making a Difference for Children, Families and Communities</w:t>
                      </w:r>
                    </w:p>
                  </w:txbxContent>
                </v:textbox>
              </v:shape>
            </w:pict>
          </mc:Fallback>
        </mc:AlternateContent>
      </w:r>
      <w:r w:rsidRPr="00ED6F97">
        <w:rPr>
          <w:rFonts w:ascii="Times New Roman" w:hAnsi="Times New Roman" w:cs="Times New Roman"/>
          <w:b/>
          <w:noProof/>
          <w:sz w:val="24"/>
          <w:szCs w:val="24"/>
        </w:rPr>
        <w:drawing>
          <wp:anchor distT="0" distB="0" distL="114300" distR="114300" simplePos="0" relativeHeight="251662336" behindDoc="0" locked="0" layoutInCell="1" allowOverlap="1" wp14:anchorId="63AAEB56" wp14:editId="2F131B69">
            <wp:simplePos x="0" y="0"/>
            <wp:positionH relativeFrom="margin">
              <wp:posOffset>76200</wp:posOffset>
            </wp:positionH>
            <wp:positionV relativeFrom="paragraph">
              <wp:posOffset>0</wp:posOffset>
            </wp:positionV>
            <wp:extent cx="1323975" cy="809666"/>
            <wp:effectExtent l="0" t="0" r="0"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0966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D6F9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-57150</wp:posOffset>
                </wp:positionV>
                <wp:extent cx="5905500" cy="82581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905500" cy="8258175"/>
                        </a:xfrm>
                        <a:prstGeom prst="rect">
                          <a:avLst/>
                        </a:prstGeom>
                        <a:solidFill>
                          <a:schemeClr val="bg1"/>
                        </a:solidFill>
                        <a:ln w="317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2F90" w:rsidRDefault="00B52F90" w:rsidP="00B52F90">
                            <w:pP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DB11FD" w:rsidRPr="00B52F90" w:rsidRDefault="00DB11FD" w:rsidP="00DB11FD">
                            <w:pPr>
                              <w:jc w:val="center"/>
                              <w:rPr>
                                <w:rFonts w:ascii="Times New Roman" w:hAnsi="Times New Roman" w:cs="Times New Roman"/>
                                <w:b/>
                                <w:color w:val="000000" w:themeColor="text1"/>
                                <w:sz w:val="36"/>
                              </w:rPr>
                            </w:pPr>
                            <w:r w:rsidRPr="00B52F90">
                              <w:rPr>
                                <w:rFonts w:ascii="Times New Roman" w:hAnsi="Times New Roman" w:cs="Times New Roman"/>
                                <w:b/>
                                <w:color w:val="000000" w:themeColor="text1"/>
                                <w:sz w:val="36"/>
                              </w:rPr>
                              <w:t>Plan for the Closure of the</w:t>
                            </w:r>
                          </w:p>
                          <w:p w:rsidR="00DB11FD" w:rsidRPr="00B52F90" w:rsidRDefault="00DB11FD" w:rsidP="00DB11FD">
                            <w:pPr>
                              <w:jc w:val="center"/>
                              <w:rPr>
                                <w:rFonts w:ascii="Times New Roman" w:hAnsi="Times New Roman" w:cs="Times New Roman"/>
                                <w:b/>
                                <w:color w:val="000000" w:themeColor="text1"/>
                                <w:sz w:val="36"/>
                              </w:rPr>
                            </w:pPr>
                            <w:r w:rsidRPr="00B52F90">
                              <w:rPr>
                                <w:rFonts w:ascii="Times New Roman" w:hAnsi="Times New Roman" w:cs="Times New Roman"/>
                                <w:b/>
                                <w:color w:val="000000" w:themeColor="text1"/>
                                <w:sz w:val="36"/>
                              </w:rPr>
                              <w:t>Connecticut Juvenile Training School</w:t>
                            </w:r>
                          </w:p>
                          <w:p w:rsidR="003C3228" w:rsidRDefault="003C3228" w:rsidP="00DB11FD">
                            <w:pPr>
                              <w:jc w:val="center"/>
                              <w:rPr>
                                <w:rFonts w:ascii="Garamond" w:hAnsi="Garamond"/>
                                <w:b/>
                                <w:color w:val="000000" w:themeColor="text1"/>
                                <w:sz w:val="36"/>
                              </w:rPr>
                            </w:pPr>
                          </w:p>
                          <w:p w:rsidR="003C3228" w:rsidRDefault="003C3228" w:rsidP="00DB11FD">
                            <w:pPr>
                              <w:jc w:val="center"/>
                              <w:rPr>
                                <w:rFonts w:ascii="Garamond" w:hAnsi="Garamond"/>
                                <w:b/>
                                <w:color w:val="000000" w:themeColor="text1"/>
                                <w:sz w:val="36"/>
                              </w:rPr>
                            </w:pPr>
                          </w:p>
                          <w:p w:rsidR="003C3228" w:rsidRDefault="003C3228" w:rsidP="00DB11FD">
                            <w:pPr>
                              <w:jc w:val="center"/>
                              <w:rPr>
                                <w:rFonts w:ascii="Garamond" w:hAnsi="Garamond"/>
                                <w:b/>
                                <w:color w:val="000000" w:themeColor="text1"/>
                                <w:sz w:val="36"/>
                              </w:rPr>
                            </w:pPr>
                          </w:p>
                          <w:p w:rsidR="003C3228" w:rsidRDefault="003C3228" w:rsidP="00DB11FD">
                            <w:pPr>
                              <w:jc w:val="center"/>
                              <w:rPr>
                                <w:rFonts w:ascii="Garamond" w:hAnsi="Garamond"/>
                                <w:b/>
                                <w:color w:val="000000" w:themeColor="text1"/>
                                <w:sz w:val="36"/>
                              </w:rPr>
                            </w:pPr>
                          </w:p>
                          <w:p w:rsidR="00B52F90" w:rsidRDefault="00B52F90" w:rsidP="005047B9">
                            <w:pP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Pr="00B52F90" w:rsidRDefault="00B52F90" w:rsidP="00B52F90">
                            <w:pPr>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Submitted by:</w:t>
                            </w:r>
                          </w:p>
                          <w:p w:rsidR="003C3228" w:rsidRPr="00B52F90" w:rsidRDefault="003C3228" w:rsidP="003C3228">
                            <w:pPr>
                              <w:spacing w:after="0"/>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Fernando J. Muñiz, MPA</w:t>
                            </w:r>
                          </w:p>
                          <w:p w:rsidR="003C3228" w:rsidRPr="00B52F90" w:rsidRDefault="003C3228" w:rsidP="003C3228">
                            <w:pPr>
                              <w:spacing w:after="0"/>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Deputy Commissioner</w:t>
                            </w:r>
                          </w:p>
                          <w:p w:rsidR="003C3228" w:rsidRPr="00B52F90" w:rsidRDefault="003C3228" w:rsidP="003C3228">
                            <w:pPr>
                              <w:spacing w:after="0"/>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Department of Children and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Rectangle 1" o:spid="_x0000_s1027" style="position:absolute;margin-left:-.75pt;margin-top:-4.5pt;width:465pt;height:6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" fillcolor="white [3212]" strokecolor="black [3213]" strokeweight="2.5pt">
                <v:stroke linestyle="thickThin"/>
                <v:textbox>
                  <w:txbxContent>
                    <w:p w:rsidR="00B52F90" w:rsidRDefault="00B52F90" w:rsidP="00B52F90">
                      <w:pP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DB11FD" w:rsidRPr="00B52F90" w:rsidRDefault="00DB11FD" w:rsidP="00DB11FD">
                      <w:pPr>
                        <w:jc w:val="center"/>
                        <w:rPr>
                          <w:rFonts w:ascii="Times New Roman" w:hAnsi="Times New Roman" w:cs="Times New Roman"/>
                          <w:b/>
                          <w:color w:val="000000" w:themeColor="text1"/>
                          <w:sz w:val="36"/>
                        </w:rPr>
                      </w:pPr>
                      <w:r w:rsidRPr="00B52F90">
                        <w:rPr>
                          <w:rFonts w:ascii="Times New Roman" w:hAnsi="Times New Roman" w:cs="Times New Roman"/>
                          <w:b/>
                          <w:color w:val="000000" w:themeColor="text1"/>
                          <w:sz w:val="36"/>
                        </w:rPr>
                        <w:t>Plan for the Closure of the</w:t>
                      </w:r>
                    </w:p>
                    <w:p w:rsidR="00DB11FD" w:rsidRPr="00B52F90" w:rsidRDefault="00DB11FD" w:rsidP="00DB11FD">
                      <w:pPr>
                        <w:jc w:val="center"/>
                        <w:rPr>
                          <w:rFonts w:ascii="Times New Roman" w:hAnsi="Times New Roman" w:cs="Times New Roman"/>
                          <w:b/>
                          <w:color w:val="000000" w:themeColor="text1"/>
                          <w:sz w:val="36"/>
                        </w:rPr>
                      </w:pPr>
                      <w:r w:rsidRPr="00B52F90">
                        <w:rPr>
                          <w:rFonts w:ascii="Times New Roman" w:hAnsi="Times New Roman" w:cs="Times New Roman"/>
                          <w:b/>
                          <w:color w:val="000000" w:themeColor="text1"/>
                          <w:sz w:val="36"/>
                        </w:rPr>
                        <w:t>Connecticut Juvenile Training School</w:t>
                      </w:r>
                    </w:p>
                    <w:p w:rsidR="003C3228" w:rsidRDefault="003C3228" w:rsidP="00DB11FD">
                      <w:pPr>
                        <w:jc w:val="center"/>
                        <w:rPr>
                          <w:rFonts w:ascii="Garamond" w:hAnsi="Garamond"/>
                          <w:b/>
                          <w:color w:val="000000" w:themeColor="text1"/>
                          <w:sz w:val="36"/>
                        </w:rPr>
                      </w:pPr>
                    </w:p>
                    <w:p w:rsidR="003C3228" w:rsidRDefault="003C3228" w:rsidP="00DB11FD">
                      <w:pPr>
                        <w:jc w:val="center"/>
                        <w:rPr>
                          <w:rFonts w:ascii="Garamond" w:hAnsi="Garamond"/>
                          <w:b/>
                          <w:color w:val="000000" w:themeColor="text1"/>
                          <w:sz w:val="36"/>
                        </w:rPr>
                      </w:pPr>
                    </w:p>
                    <w:p w:rsidR="003C3228" w:rsidRDefault="003C3228" w:rsidP="00DB11FD">
                      <w:pPr>
                        <w:jc w:val="center"/>
                        <w:rPr>
                          <w:rFonts w:ascii="Garamond" w:hAnsi="Garamond"/>
                          <w:b/>
                          <w:color w:val="000000" w:themeColor="text1"/>
                          <w:sz w:val="36"/>
                        </w:rPr>
                      </w:pPr>
                    </w:p>
                    <w:p w:rsidR="003C3228" w:rsidRDefault="003C3228" w:rsidP="00DB11FD">
                      <w:pPr>
                        <w:jc w:val="center"/>
                        <w:rPr>
                          <w:rFonts w:ascii="Garamond" w:hAnsi="Garamond"/>
                          <w:b/>
                          <w:color w:val="000000" w:themeColor="text1"/>
                          <w:sz w:val="36"/>
                        </w:rPr>
                      </w:pPr>
                    </w:p>
                    <w:p w:rsidR="00B52F90" w:rsidRDefault="00B52F90" w:rsidP="005047B9">
                      <w:pPr>
                        <w:rPr>
                          <w:rFonts w:ascii="Garamond" w:hAnsi="Garamond"/>
                          <w:b/>
                          <w:color w:val="000000" w:themeColor="text1"/>
                          <w:sz w:val="36"/>
                        </w:rPr>
                      </w:pPr>
                    </w:p>
                    <w:p w:rsidR="00B52F90" w:rsidRDefault="00B52F90" w:rsidP="00DB11FD">
                      <w:pPr>
                        <w:jc w:val="center"/>
                        <w:rPr>
                          <w:rFonts w:ascii="Garamond" w:hAnsi="Garamond"/>
                          <w:b/>
                          <w:color w:val="000000" w:themeColor="text1"/>
                          <w:sz w:val="36"/>
                        </w:rPr>
                      </w:pPr>
                    </w:p>
                    <w:p w:rsidR="00B52F90" w:rsidRPr="00B52F90" w:rsidRDefault="00B52F90" w:rsidP="00B52F90">
                      <w:pPr>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Submitted by:</w:t>
                      </w:r>
                    </w:p>
                    <w:p w:rsidR="003C3228" w:rsidRPr="00B52F90" w:rsidRDefault="003C3228" w:rsidP="003C3228">
                      <w:pPr>
                        <w:spacing w:after="0"/>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Fernando J. Muñiz, MPA</w:t>
                      </w:r>
                    </w:p>
                    <w:p w:rsidR="003C3228" w:rsidRPr="00B52F90" w:rsidRDefault="003C3228" w:rsidP="003C3228">
                      <w:pPr>
                        <w:spacing w:after="0"/>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Deputy Commissioner</w:t>
                      </w:r>
                    </w:p>
                    <w:p w:rsidR="003C3228" w:rsidRPr="00B52F90" w:rsidRDefault="003C3228" w:rsidP="003C3228">
                      <w:pPr>
                        <w:spacing w:after="0"/>
                        <w:jc w:val="right"/>
                        <w:rPr>
                          <w:rFonts w:ascii="Times New Roman" w:hAnsi="Times New Roman" w:cs="Times New Roman"/>
                          <w:b/>
                          <w:color w:val="000000" w:themeColor="text1"/>
                          <w:sz w:val="24"/>
                          <w:szCs w:val="24"/>
                        </w:rPr>
                      </w:pPr>
                      <w:r w:rsidRPr="00B52F90">
                        <w:rPr>
                          <w:rFonts w:ascii="Times New Roman" w:hAnsi="Times New Roman" w:cs="Times New Roman"/>
                          <w:b/>
                          <w:color w:val="000000" w:themeColor="text1"/>
                          <w:sz w:val="24"/>
                          <w:szCs w:val="24"/>
                        </w:rPr>
                        <w:t>Department of Children and Families</w:t>
                      </w:r>
                    </w:p>
                  </w:txbxContent>
                </v:textbox>
              </v:rect>
            </w:pict>
          </mc:Fallback>
        </mc:AlternateContent>
      </w: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DB11FD" w:rsidRPr="00ED6F97" w:rsidRDefault="00DB11FD" w:rsidP="00C71731">
      <w:pPr>
        <w:rPr>
          <w:rFonts w:ascii="Times New Roman" w:hAnsi="Times New Roman" w:cs="Times New Roman"/>
          <w:b/>
          <w:sz w:val="24"/>
          <w:szCs w:val="24"/>
        </w:rPr>
      </w:pPr>
    </w:p>
    <w:p w:rsidR="00927F25" w:rsidRDefault="00DB11FD" w:rsidP="00C71731">
      <w:pPr>
        <w:spacing w:after="0"/>
        <w:rPr>
          <w:rFonts w:ascii="Times New Roman" w:hAnsi="Times New Roman" w:cs="Times New Roman"/>
          <w:b/>
          <w:sz w:val="24"/>
          <w:szCs w:val="24"/>
          <w:u w:val="single"/>
        </w:rPr>
      </w:pPr>
      <w:r w:rsidRPr="00ED6F97">
        <w:rPr>
          <w:rFonts w:ascii="Times New Roman" w:hAnsi="Times New Roman" w:cs="Times New Roman"/>
          <w:b/>
          <w:sz w:val="24"/>
          <w:szCs w:val="24"/>
          <w:u w:val="single"/>
        </w:rPr>
        <w:lastRenderedPageBreak/>
        <w:t>Executive Summary</w:t>
      </w:r>
    </w:p>
    <w:p w:rsidR="00B52F90" w:rsidRPr="00ED6F97" w:rsidRDefault="00B52F90" w:rsidP="00C71731">
      <w:pPr>
        <w:spacing w:after="0"/>
        <w:rPr>
          <w:rFonts w:ascii="Times New Roman" w:hAnsi="Times New Roman" w:cs="Times New Roman"/>
          <w:b/>
          <w:sz w:val="24"/>
          <w:szCs w:val="24"/>
          <w:u w:val="single"/>
        </w:rPr>
      </w:pPr>
    </w:p>
    <w:p w:rsidR="00C276A7" w:rsidRPr="00ED6F97" w:rsidRDefault="00981DE4" w:rsidP="00C71731">
      <w:pPr>
        <w:spacing w:after="0"/>
        <w:rPr>
          <w:rFonts w:ascii="Times New Roman" w:hAnsi="Times New Roman" w:cs="Times New Roman"/>
          <w:sz w:val="24"/>
          <w:szCs w:val="24"/>
        </w:rPr>
      </w:pPr>
      <w:r w:rsidRPr="00ED6F97">
        <w:rPr>
          <w:rFonts w:ascii="Times New Roman" w:hAnsi="Times New Roman" w:cs="Times New Roman"/>
          <w:sz w:val="24"/>
          <w:szCs w:val="24"/>
        </w:rPr>
        <w:t>The Connecticut Juvenile Training School</w:t>
      </w:r>
      <w:r w:rsidR="006F2BF7" w:rsidRPr="00ED6F97">
        <w:rPr>
          <w:rFonts w:ascii="Times New Roman" w:hAnsi="Times New Roman" w:cs="Times New Roman"/>
          <w:sz w:val="24"/>
          <w:szCs w:val="24"/>
        </w:rPr>
        <w:t xml:space="preserve"> (CJTS)</w:t>
      </w:r>
      <w:r w:rsidRPr="00ED6F97">
        <w:rPr>
          <w:rFonts w:ascii="Times New Roman" w:hAnsi="Times New Roman" w:cs="Times New Roman"/>
          <w:sz w:val="24"/>
          <w:szCs w:val="24"/>
        </w:rPr>
        <w:t xml:space="preserve"> is a secure facility</w:t>
      </w:r>
      <w:r w:rsidR="006F2BF7" w:rsidRPr="00ED6F97">
        <w:rPr>
          <w:rFonts w:ascii="Times New Roman" w:hAnsi="Times New Roman" w:cs="Times New Roman"/>
          <w:sz w:val="24"/>
          <w:szCs w:val="24"/>
        </w:rPr>
        <w:t xml:space="preserve"> for young men who have been committed delinquent and placed in the custody of the Department of Children and Families</w:t>
      </w:r>
      <w:r w:rsidR="009B68F2" w:rsidRPr="00ED6F97">
        <w:rPr>
          <w:rFonts w:ascii="Times New Roman" w:hAnsi="Times New Roman" w:cs="Times New Roman"/>
          <w:sz w:val="24"/>
          <w:szCs w:val="24"/>
        </w:rPr>
        <w:t xml:space="preserve"> (DCF)</w:t>
      </w:r>
      <w:r w:rsidR="006F2BF7" w:rsidRPr="00ED6F97">
        <w:rPr>
          <w:rFonts w:ascii="Times New Roman" w:hAnsi="Times New Roman" w:cs="Times New Roman"/>
          <w:sz w:val="24"/>
          <w:szCs w:val="24"/>
        </w:rPr>
        <w:t xml:space="preserve">.  The facility opened in 2001 with a maximum capacity of </w:t>
      </w:r>
      <w:r w:rsidR="00105AEB">
        <w:rPr>
          <w:rFonts w:ascii="Times New Roman" w:hAnsi="Times New Roman" w:cs="Times New Roman"/>
          <w:sz w:val="24"/>
          <w:szCs w:val="24"/>
        </w:rPr>
        <w:t xml:space="preserve">over </w:t>
      </w:r>
      <w:r w:rsidR="00105AEB" w:rsidRPr="00105AEB">
        <w:rPr>
          <w:rFonts w:ascii="Times New Roman" w:hAnsi="Times New Roman" w:cs="Times New Roman"/>
          <w:sz w:val="24"/>
          <w:szCs w:val="24"/>
        </w:rPr>
        <w:t>230</w:t>
      </w:r>
      <w:r w:rsidR="00105AEB">
        <w:rPr>
          <w:rFonts w:ascii="Times New Roman" w:hAnsi="Times New Roman" w:cs="Times New Roman"/>
          <w:sz w:val="24"/>
          <w:szCs w:val="24"/>
        </w:rPr>
        <w:t xml:space="preserve"> residents</w:t>
      </w:r>
      <w:r w:rsidR="00B803EF" w:rsidRPr="00ED6F97">
        <w:rPr>
          <w:rFonts w:ascii="Times New Roman" w:hAnsi="Times New Roman" w:cs="Times New Roman"/>
          <w:sz w:val="24"/>
          <w:szCs w:val="24"/>
        </w:rPr>
        <w:t xml:space="preserve">.  </w:t>
      </w:r>
      <w:r w:rsidR="008E0A0D">
        <w:rPr>
          <w:rFonts w:ascii="Times New Roman" w:hAnsi="Times New Roman" w:cs="Times New Roman"/>
          <w:sz w:val="24"/>
          <w:szCs w:val="24"/>
        </w:rPr>
        <w:t xml:space="preserve"> </w:t>
      </w:r>
      <w:r w:rsidR="00B803EF" w:rsidRPr="00ED6F97">
        <w:rPr>
          <w:rFonts w:ascii="Times New Roman" w:hAnsi="Times New Roman" w:cs="Times New Roman"/>
          <w:sz w:val="24"/>
          <w:szCs w:val="24"/>
        </w:rPr>
        <w:t xml:space="preserve">In the </w:t>
      </w:r>
      <w:r w:rsidR="00A15C64" w:rsidRPr="00ED6F97">
        <w:rPr>
          <w:rFonts w:ascii="Times New Roman" w:hAnsi="Times New Roman" w:cs="Times New Roman"/>
          <w:sz w:val="24"/>
          <w:szCs w:val="24"/>
        </w:rPr>
        <w:t>spring</w:t>
      </w:r>
      <w:r w:rsidR="00B803EF" w:rsidRPr="00ED6F97">
        <w:rPr>
          <w:rFonts w:ascii="Times New Roman" w:hAnsi="Times New Roman" w:cs="Times New Roman"/>
          <w:sz w:val="24"/>
          <w:szCs w:val="24"/>
        </w:rPr>
        <w:t xml:space="preserve"> of 2016, due to a decreasing number of youth committed delinquent and to policy changes </w:t>
      </w:r>
      <w:r w:rsidR="00A15C64" w:rsidRPr="00ED6F97">
        <w:rPr>
          <w:rFonts w:ascii="Times New Roman" w:hAnsi="Times New Roman" w:cs="Times New Roman"/>
          <w:sz w:val="24"/>
          <w:szCs w:val="24"/>
        </w:rPr>
        <w:t xml:space="preserve">within DCF, the average daily population at CJTS was </w:t>
      </w:r>
      <w:r w:rsidR="00105AEB" w:rsidRPr="00105AEB">
        <w:rPr>
          <w:rFonts w:ascii="Times New Roman" w:hAnsi="Times New Roman" w:cs="Times New Roman"/>
          <w:sz w:val="24"/>
          <w:szCs w:val="24"/>
        </w:rPr>
        <w:t>48</w:t>
      </w:r>
      <w:r w:rsidR="00A15C64" w:rsidRPr="00ED6F97">
        <w:rPr>
          <w:rFonts w:ascii="Times New Roman" w:hAnsi="Times New Roman" w:cs="Times New Roman"/>
          <w:sz w:val="24"/>
          <w:szCs w:val="24"/>
        </w:rPr>
        <w:t xml:space="preserve"> youth</w:t>
      </w:r>
      <w:r w:rsidR="00B803EF" w:rsidRPr="00ED6F97">
        <w:rPr>
          <w:rFonts w:ascii="Times New Roman" w:hAnsi="Times New Roman" w:cs="Times New Roman"/>
          <w:sz w:val="24"/>
          <w:szCs w:val="24"/>
        </w:rPr>
        <w:t>.</w:t>
      </w:r>
    </w:p>
    <w:p w:rsidR="00C32043" w:rsidRPr="00ED6F97" w:rsidRDefault="00C32043" w:rsidP="00C71731">
      <w:pPr>
        <w:spacing w:after="0"/>
        <w:rPr>
          <w:rFonts w:ascii="Times New Roman" w:hAnsi="Times New Roman" w:cs="Times New Roman"/>
          <w:sz w:val="24"/>
          <w:szCs w:val="24"/>
        </w:rPr>
      </w:pPr>
    </w:p>
    <w:p w:rsidR="00C32043" w:rsidRPr="00ED6F97" w:rsidRDefault="00C32043" w:rsidP="00C71731">
      <w:pPr>
        <w:pStyle w:val="NormalWeb"/>
        <w:shd w:val="clear" w:color="auto" w:fill="FFFFFF"/>
        <w:spacing w:before="0" w:beforeAutospacing="0" w:after="0" w:afterAutospacing="0" w:line="207" w:lineRule="atLeast"/>
      </w:pPr>
      <w:r w:rsidRPr="00ED6F97">
        <w:t>CJTS has been a source of public concern almost since the day the facility opened in 2001.  The faci</w:t>
      </w:r>
      <w:r w:rsidR="006B609B" w:rsidRPr="00ED6F97">
        <w:t>lity was built based on a secure facility in Ohio and its construction played a major part in the scandal that led to the resignation of Governor John Rowland.  From the beginning, advocates expressed concerns with the level of security, the programming and the number of restraints at the facility.  More recently, there has been an increase in staff injuries and worker’s compensation claims.</w:t>
      </w:r>
    </w:p>
    <w:p w:rsidR="00C32043" w:rsidRPr="00ED6F97" w:rsidRDefault="00C32043" w:rsidP="00C71731">
      <w:pPr>
        <w:pStyle w:val="NormalWeb"/>
        <w:shd w:val="clear" w:color="auto" w:fill="FFFFFF"/>
        <w:spacing w:before="0" w:beforeAutospacing="0" w:after="0" w:afterAutospacing="0" w:line="207" w:lineRule="atLeast"/>
      </w:pPr>
    </w:p>
    <w:p w:rsidR="00867EEB" w:rsidRPr="00ED6F97" w:rsidRDefault="00641582" w:rsidP="00C71731">
      <w:pPr>
        <w:pStyle w:val="NormalWeb"/>
        <w:shd w:val="clear" w:color="auto" w:fill="FFFFFF"/>
        <w:spacing w:before="0" w:beforeAutospacing="0" w:after="0" w:afterAutospacing="0" w:line="207" w:lineRule="atLeast"/>
        <w:rPr>
          <w:rFonts w:eastAsia="Times New Roman"/>
          <w:color w:val="000000"/>
        </w:rPr>
      </w:pPr>
      <w:r w:rsidRPr="00ED6F97">
        <w:t xml:space="preserve">In December 2015, Governor Dannel Malloy </w:t>
      </w:r>
      <w:r w:rsidR="009B68F2" w:rsidRPr="00ED6F97">
        <w:t xml:space="preserve">announced his plan to close CJTS by July 2018.  In order to </w:t>
      </w:r>
      <w:r w:rsidR="00867EEB" w:rsidRPr="00ED6F97">
        <w:t>effectuate the</w:t>
      </w:r>
      <w:r w:rsidR="009B68F2" w:rsidRPr="00ED6F97">
        <w:t xml:space="preserve"> closure of CJTS, DCF</w:t>
      </w:r>
      <w:r w:rsidR="00867EEB" w:rsidRPr="00ED6F97">
        <w:t xml:space="preserve"> embarked on an inclusive planning process to close or modify the facility in accordance with the governor’s directive </w:t>
      </w:r>
      <w:r w:rsidR="00867EEB" w:rsidRPr="00ED6F97">
        <w:rPr>
          <w:rFonts w:eastAsia="Times New Roman"/>
          <w:color w:val="000000"/>
        </w:rPr>
        <w:t>in a manner that accounts for the best interests of the youth served by CJTS</w:t>
      </w:r>
      <w:r w:rsidR="00DD3158" w:rsidRPr="00ED6F97">
        <w:rPr>
          <w:rFonts w:eastAsia="Times New Roman"/>
          <w:color w:val="000000"/>
        </w:rPr>
        <w:t>.  The plan is i</w:t>
      </w:r>
      <w:r w:rsidR="00867EEB" w:rsidRPr="00ED6F97">
        <w:rPr>
          <w:rFonts w:eastAsia="Times New Roman"/>
          <w:color w:val="000000"/>
        </w:rPr>
        <w:t>nformed by national best practices, as well as an analysis of the population of youth currently served by CJTS and the youth who will be impacted by future age related statutory changes. </w:t>
      </w:r>
    </w:p>
    <w:p w:rsidR="00DD3158" w:rsidRPr="00ED6F97" w:rsidRDefault="00DD3158" w:rsidP="00C71731">
      <w:pPr>
        <w:pStyle w:val="NormalWeb"/>
        <w:shd w:val="clear" w:color="auto" w:fill="FFFFFF"/>
        <w:spacing w:before="0" w:beforeAutospacing="0" w:after="0" w:afterAutospacing="0" w:line="207" w:lineRule="atLeast"/>
        <w:rPr>
          <w:rFonts w:eastAsia="Times New Roman"/>
          <w:color w:val="000000"/>
        </w:rPr>
      </w:pPr>
    </w:p>
    <w:p w:rsidR="00DD3158" w:rsidRPr="00ED6F97" w:rsidRDefault="00B803EF" w:rsidP="00C71731">
      <w:pPr>
        <w:pStyle w:val="NormalWeb"/>
        <w:shd w:val="clear" w:color="auto" w:fill="FFFFFF"/>
        <w:spacing w:before="0" w:beforeAutospacing="0" w:after="0" w:afterAutospacing="0" w:line="207" w:lineRule="atLeast"/>
        <w:rPr>
          <w:rFonts w:eastAsia="Times New Roman"/>
          <w:color w:val="000000"/>
        </w:rPr>
      </w:pPr>
      <w:r w:rsidRPr="00ED6F97">
        <w:rPr>
          <w:rFonts w:eastAsia="Times New Roman"/>
          <w:color w:val="000000"/>
        </w:rPr>
        <w:t xml:space="preserve">The closure of CJTS must coincide with other changes </w:t>
      </w:r>
      <w:r w:rsidR="00A15C64" w:rsidRPr="00ED6F97">
        <w:rPr>
          <w:rFonts w:eastAsia="Times New Roman"/>
          <w:color w:val="000000"/>
        </w:rPr>
        <w:t xml:space="preserve">in the juvenile justice system in order to meet the needs of the youth committed delinquent to DCF.  </w:t>
      </w:r>
      <w:r w:rsidR="00ED6F97" w:rsidRPr="00ED6F97">
        <w:rPr>
          <w:rFonts w:eastAsia="Times New Roman"/>
          <w:color w:val="000000"/>
        </w:rPr>
        <w:t xml:space="preserve">The environment in which any future facility exists must support serving more youth in the community.  </w:t>
      </w:r>
      <w:r w:rsidR="00A15C64" w:rsidRPr="00ED6F97">
        <w:rPr>
          <w:rFonts w:eastAsia="Times New Roman"/>
          <w:color w:val="000000"/>
        </w:rPr>
        <w:t>Accordingly, the Department’s plan for the closure of CJTS includes recommendations with the goal of continuing to improve the juvenile justice system ov</w:t>
      </w:r>
      <w:r w:rsidR="006B609B" w:rsidRPr="00ED6F97">
        <w:rPr>
          <w:rFonts w:eastAsia="Times New Roman"/>
          <w:color w:val="000000"/>
        </w:rPr>
        <w:t>erall.  These include:</w:t>
      </w:r>
    </w:p>
    <w:p w:rsidR="00A15C64" w:rsidRPr="00ED6F97" w:rsidRDefault="00A15C64" w:rsidP="00176A68">
      <w:pPr>
        <w:pStyle w:val="NormalWeb"/>
        <w:shd w:val="clear" w:color="auto" w:fill="FFFFFF"/>
        <w:spacing w:before="0" w:beforeAutospacing="0" w:after="0" w:afterAutospacing="0" w:line="207" w:lineRule="atLeast"/>
        <w:rPr>
          <w:rFonts w:eastAsia="Times New Roman"/>
          <w:color w:val="000000"/>
        </w:rPr>
      </w:pPr>
    </w:p>
    <w:p w:rsidR="005C0978" w:rsidRDefault="008325A7" w:rsidP="005C0978">
      <w:pPr>
        <w:pStyle w:val="NormalWeb"/>
        <w:numPr>
          <w:ilvl w:val="0"/>
          <w:numId w:val="4"/>
        </w:numPr>
        <w:shd w:val="clear" w:color="auto" w:fill="FFFFFF"/>
        <w:spacing w:before="0" w:beforeAutospacing="0" w:after="0" w:afterAutospacing="0" w:line="207" w:lineRule="atLeast"/>
        <w:rPr>
          <w:rFonts w:eastAsia="Times New Roman"/>
          <w:color w:val="000000"/>
        </w:rPr>
      </w:pPr>
      <w:r>
        <w:rPr>
          <w:rFonts w:eastAsia="Times New Roman"/>
          <w:color w:val="000000"/>
        </w:rPr>
        <w:t>Redefine</w:t>
      </w:r>
      <w:r w:rsidR="005C0978" w:rsidRPr="00ED6F97">
        <w:rPr>
          <w:rFonts w:eastAsia="Times New Roman"/>
          <w:color w:val="000000"/>
        </w:rPr>
        <w:t xml:space="preserve"> eligibility for secure placement</w:t>
      </w:r>
      <w:r w:rsidR="005C0978">
        <w:rPr>
          <w:rFonts w:eastAsia="Times New Roman"/>
          <w:color w:val="000000"/>
        </w:rPr>
        <w:t>;</w:t>
      </w:r>
    </w:p>
    <w:p w:rsidR="005C0978" w:rsidRPr="00ED6F97" w:rsidRDefault="005C0978" w:rsidP="005C0978">
      <w:pPr>
        <w:pStyle w:val="NormalWeb"/>
        <w:numPr>
          <w:ilvl w:val="0"/>
          <w:numId w:val="4"/>
        </w:numPr>
        <w:shd w:val="clear" w:color="auto" w:fill="FFFFFF"/>
        <w:spacing w:before="0" w:beforeAutospacing="0" w:after="0" w:afterAutospacing="0" w:line="207" w:lineRule="atLeast"/>
        <w:rPr>
          <w:rFonts w:eastAsia="Times New Roman"/>
          <w:color w:val="000000"/>
        </w:rPr>
      </w:pPr>
      <w:r>
        <w:rPr>
          <w:rFonts w:eastAsia="Times New Roman"/>
          <w:color w:val="000000"/>
        </w:rPr>
        <w:t>Supporting the use of graduated responses;</w:t>
      </w:r>
    </w:p>
    <w:p w:rsidR="00A15C64" w:rsidRPr="00ED6F97" w:rsidRDefault="005C0978" w:rsidP="00C71731">
      <w:pPr>
        <w:pStyle w:val="NormalWeb"/>
        <w:numPr>
          <w:ilvl w:val="0"/>
          <w:numId w:val="4"/>
        </w:numPr>
        <w:shd w:val="clear" w:color="auto" w:fill="FFFFFF"/>
        <w:spacing w:before="0" w:beforeAutospacing="0" w:after="0" w:afterAutospacing="0" w:line="207" w:lineRule="atLeast"/>
        <w:rPr>
          <w:rFonts w:eastAsia="Times New Roman"/>
          <w:color w:val="000000"/>
        </w:rPr>
      </w:pPr>
      <w:r>
        <w:rPr>
          <w:rFonts w:eastAsia="Times New Roman"/>
          <w:color w:val="000000"/>
        </w:rPr>
        <w:t>Preserving</w:t>
      </w:r>
      <w:r w:rsidR="00470EA4" w:rsidRPr="00ED6F97">
        <w:rPr>
          <w:rFonts w:eastAsia="Times New Roman"/>
          <w:color w:val="000000"/>
        </w:rPr>
        <w:t xml:space="preserve"> non-residential community-based services</w:t>
      </w:r>
      <w:r>
        <w:rPr>
          <w:rFonts w:eastAsia="Times New Roman"/>
          <w:color w:val="000000"/>
        </w:rPr>
        <w:t xml:space="preserve"> and supports</w:t>
      </w:r>
      <w:r w:rsidR="00470EA4" w:rsidRPr="00ED6F97">
        <w:rPr>
          <w:rFonts w:eastAsia="Times New Roman"/>
          <w:color w:val="000000"/>
        </w:rPr>
        <w:t>;</w:t>
      </w:r>
    </w:p>
    <w:p w:rsidR="00176A68" w:rsidRDefault="006B609B" w:rsidP="00C71731">
      <w:pPr>
        <w:pStyle w:val="NormalWeb"/>
        <w:numPr>
          <w:ilvl w:val="0"/>
          <w:numId w:val="4"/>
        </w:numPr>
        <w:shd w:val="clear" w:color="auto" w:fill="FFFFFF"/>
        <w:spacing w:before="0" w:beforeAutospacing="0" w:after="0" w:afterAutospacing="0" w:line="207" w:lineRule="atLeast"/>
        <w:rPr>
          <w:rFonts w:eastAsia="Times New Roman"/>
          <w:color w:val="000000"/>
        </w:rPr>
      </w:pPr>
      <w:r w:rsidRPr="00ED6F97">
        <w:rPr>
          <w:rFonts w:eastAsia="Times New Roman"/>
          <w:color w:val="000000"/>
        </w:rPr>
        <w:t>Improving</w:t>
      </w:r>
      <w:r w:rsidR="00470EA4" w:rsidRPr="00ED6F97">
        <w:rPr>
          <w:rFonts w:eastAsia="Times New Roman"/>
          <w:color w:val="000000"/>
        </w:rPr>
        <w:t xml:space="preserve"> community supervision of youth;</w:t>
      </w:r>
      <w:r w:rsidR="00176A68" w:rsidRPr="00176A68">
        <w:rPr>
          <w:rFonts w:eastAsia="Times New Roman"/>
          <w:color w:val="000000"/>
        </w:rPr>
        <w:t xml:space="preserve"> </w:t>
      </w:r>
    </w:p>
    <w:p w:rsidR="00470EA4" w:rsidRPr="00ED6F97" w:rsidRDefault="006B609B" w:rsidP="00C71731">
      <w:pPr>
        <w:pStyle w:val="NormalWeb"/>
        <w:numPr>
          <w:ilvl w:val="0"/>
          <w:numId w:val="4"/>
        </w:numPr>
        <w:shd w:val="clear" w:color="auto" w:fill="FFFFFF"/>
        <w:spacing w:before="0" w:beforeAutospacing="0" w:after="0" w:afterAutospacing="0" w:line="207" w:lineRule="atLeast"/>
        <w:rPr>
          <w:rFonts w:eastAsia="Times New Roman"/>
          <w:color w:val="000000"/>
        </w:rPr>
      </w:pPr>
      <w:r w:rsidRPr="00ED6F97">
        <w:rPr>
          <w:rFonts w:eastAsia="Times New Roman"/>
          <w:color w:val="000000"/>
        </w:rPr>
        <w:t>Right-sizing</w:t>
      </w:r>
      <w:r w:rsidR="00470EA4" w:rsidRPr="00ED6F97">
        <w:rPr>
          <w:rFonts w:eastAsia="Times New Roman"/>
          <w:color w:val="000000"/>
        </w:rPr>
        <w:t>, redesign</w:t>
      </w:r>
      <w:r w:rsidRPr="00ED6F97">
        <w:rPr>
          <w:rFonts w:eastAsia="Times New Roman"/>
          <w:color w:val="000000"/>
        </w:rPr>
        <w:t>ing and replacing</w:t>
      </w:r>
      <w:r w:rsidR="00470EA4" w:rsidRPr="00ED6F97">
        <w:rPr>
          <w:rFonts w:eastAsia="Times New Roman"/>
          <w:color w:val="000000"/>
        </w:rPr>
        <w:t xml:space="preserve"> CJTS with a smaller secure facility.</w:t>
      </w:r>
    </w:p>
    <w:p w:rsidR="00867EEB" w:rsidRPr="00ED6F97" w:rsidRDefault="00867EEB" w:rsidP="00C71731">
      <w:pPr>
        <w:shd w:val="clear" w:color="auto" w:fill="FFFFFF"/>
        <w:spacing w:after="0" w:line="240" w:lineRule="auto"/>
        <w:rPr>
          <w:rFonts w:ascii="Times New Roman" w:eastAsia="Times New Roman" w:hAnsi="Times New Roman" w:cs="Times New Roman"/>
          <w:color w:val="000000"/>
          <w:sz w:val="24"/>
          <w:szCs w:val="24"/>
        </w:rPr>
      </w:pPr>
    </w:p>
    <w:p w:rsidR="00117A52" w:rsidRPr="00ED6F97" w:rsidRDefault="006B609B" w:rsidP="00C71731">
      <w:pPr>
        <w:spacing w:after="0"/>
        <w:rPr>
          <w:rFonts w:ascii="Times New Roman" w:hAnsi="Times New Roman" w:cs="Times New Roman"/>
          <w:sz w:val="24"/>
          <w:szCs w:val="24"/>
        </w:rPr>
      </w:pPr>
      <w:r w:rsidRPr="00ED6F97">
        <w:rPr>
          <w:rFonts w:ascii="Times New Roman" w:hAnsi="Times New Roman" w:cs="Times New Roman"/>
          <w:sz w:val="24"/>
          <w:szCs w:val="24"/>
        </w:rPr>
        <w:t xml:space="preserve">Many of the recommendations in this plan </w:t>
      </w:r>
      <w:r w:rsidR="00ED6F97">
        <w:rPr>
          <w:rFonts w:ascii="Times New Roman" w:hAnsi="Times New Roman" w:cs="Times New Roman"/>
          <w:sz w:val="24"/>
          <w:szCs w:val="24"/>
        </w:rPr>
        <w:t>can be implemented with no-cost or low-</w:t>
      </w:r>
      <w:r w:rsidRPr="00ED6F97">
        <w:rPr>
          <w:rFonts w:ascii="Times New Roman" w:hAnsi="Times New Roman" w:cs="Times New Roman"/>
          <w:sz w:val="24"/>
          <w:szCs w:val="24"/>
        </w:rPr>
        <w:t>cost to the state.</w:t>
      </w:r>
      <w:r w:rsidR="00ED6F97">
        <w:rPr>
          <w:rFonts w:ascii="Times New Roman" w:hAnsi="Times New Roman" w:cs="Times New Roman"/>
          <w:sz w:val="24"/>
          <w:szCs w:val="24"/>
        </w:rPr>
        <w:t xml:space="preserve">  In the short-term, the focus should be implementing these no-cost or low-cost changes to policies and practices that will promote better treatment planning, supervision and services for youth.  In the longer-term, </w:t>
      </w:r>
      <w:r w:rsidR="00BF66D6">
        <w:rPr>
          <w:rFonts w:ascii="Times New Roman" w:hAnsi="Times New Roman" w:cs="Times New Roman"/>
          <w:sz w:val="24"/>
          <w:szCs w:val="24"/>
        </w:rPr>
        <w:t>the secure bed capacity at CJTS must be replaced with a facility or facilities that operate ba</w:t>
      </w:r>
      <w:r w:rsidR="00036F57">
        <w:rPr>
          <w:rFonts w:ascii="Times New Roman" w:hAnsi="Times New Roman" w:cs="Times New Roman"/>
          <w:sz w:val="24"/>
          <w:szCs w:val="24"/>
        </w:rPr>
        <w:t>sed on best practice principles.</w:t>
      </w:r>
    </w:p>
    <w:p w:rsidR="000D5C31" w:rsidRPr="00ED6F97" w:rsidRDefault="000D5C31" w:rsidP="00C71731">
      <w:pPr>
        <w:pStyle w:val="ListParagraph"/>
        <w:spacing w:after="0"/>
        <w:rPr>
          <w:rFonts w:ascii="Times New Roman" w:hAnsi="Times New Roman" w:cs="Times New Roman"/>
          <w:sz w:val="24"/>
          <w:szCs w:val="24"/>
        </w:rPr>
      </w:pPr>
    </w:p>
    <w:p w:rsidR="000D5C31" w:rsidRPr="00ED6F97" w:rsidRDefault="000D5C31" w:rsidP="00C71731">
      <w:pPr>
        <w:pStyle w:val="ListParagraph"/>
        <w:spacing w:after="0"/>
        <w:rPr>
          <w:rFonts w:ascii="Times New Roman" w:hAnsi="Times New Roman" w:cs="Times New Roman"/>
          <w:sz w:val="24"/>
          <w:szCs w:val="24"/>
        </w:rPr>
      </w:pPr>
    </w:p>
    <w:p w:rsidR="000D5C31" w:rsidRPr="00ED6F97" w:rsidRDefault="000D5C31" w:rsidP="00C71731">
      <w:pPr>
        <w:pStyle w:val="ListParagraph"/>
        <w:spacing w:after="0"/>
        <w:rPr>
          <w:rFonts w:ascii="Times New Roman" w:hAnsi="Times New Roman" w:cs="Times New Roman"/>
          <w:sz w:val="24"/>
          <w:szCs w:val="24"/>
        </w:rPr>
      </w:pPr>
    </w:p>
    <w:p w:rsidR="000D5C31" w:rsidRPr="00ED6F97" w:rsidRDefault="000D5C31" w:rsidP="00C71731">
      <w:pPr>
        <w:pStyle w:val="ListParagraph"/>
        <w:spacing w:after="0"/>
        <w:rPr>
          <w:rFonts w:ascii="Times New Roman" w:hAnsi="Times New Roman" w:cs="Times New Roman"/>
          <w:sz w:val="24"/>
          <w:szCs w:val="24"/>
        </w:rPr>
      </w:pPr>
    </w:p>
    <w:p w:rsidR="000D5C31" w:rsidRPr="00ED6F97" w:rsidRDefault="000D5C31" w:rsidP="00C71731">
      <w:pPr>
        <w:pStyle w:val="ListParagraph"/>
        <w:spacing w:after="0"/>
        <w:rPr>
          <w:rFonts w:ascii="Times New Roman" w:hAnsi="Times New Roman" w:cs="Times New Roman"/>
          <w:sz w:val="24"/>
          <w:szCs w:val="24"/>
        </w:rPr>
      </w:pPr>
    </w:p>
    <w:p w:rsidR="00117A52" w:rsidRPr="00DD3418" w:rsidRDefault="00117A52" w:rsidP="00DD3418">
      <w:pPr>
        <w:spacing w:after="0"/>
        <w:rPr>
          <w:rFonts w:ascii="Times New Roman" w:hAnsi="Times New Roman" w:cs="Times New Roman"/>
          <w:sz w:val="24"/>
          <w:szCs w:val="24"/>
        </w:rPr>
      </w:pPr>
    </w:p>
    <w:p w:rsidR="00927F25" w:rsidRDefault="00751CF4" w:rsidP="00C71731">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Census</w:t>
      </w:r>
      <w:r w:rsidR="006036A9">
        <w:rPr>
          <w:rFonts w:ascii="Times New Roman" w:hAnsi="Times New Roman" w:cs="Times New Roman"/>
          <w:b/>
          <w:sz w:val="24"/>
          <w:szCs w:val="24"/>
          <w:u w:val="single"/>
        </w:rPr>
        <w:t xml:space="preserve"> </w:t>
      </w:r>
      <w:r w:rsidR="000010EB">
        <w:rPr>
          <w:rFonts w:ascii="Times New Roman" w:hAnsi="Times New Roman" w:cs="Times New Roman"/>
          <w:b/>
          <w:sz w:val="24"/>
          <w:szCs w:val="24"/>
          <w:u w:val="single"/>
        </w:rPr>
        <w:t>Forecast</w:t>
      </w:r>
    </w:p>
    <w:p w:rsidR="000010EB" w:rsidRDefault="000010EB" w:rsidP="00C71731">
      <w:pPr>
        <w:spacing w:after="0"/>
        <w:rPr>
          <w:rFonts w:ascii="Times New Roman" w:hAnsi="Times New Roman" w:cs="Times New Roman"/>
          <w:b/>
          <w:sz w:val="24"/>
          <w:szCs w:val="24"/>
          <w:u w:val="single"/>
        </w:rPr>
      </w:pPr>
    </w:p>
    <w:p w:rsidR="000010EB" w:rsidRDefault="000010EB" w:rsidP="00C71731">
      <w:pPr>
        <w:spacing w:after="0"/>
        <w:rPr>
          <w:rFonts w:ascii="Times New Roman" w:hAnsi="Times New Roman" w:cs="Times New Roman"/>
          <w:sz w:val="24"/>
          <w:szCs w:val="24"/>
        </w:rPr>
      </w:pPr>
      <w:r>
        <w:rPr>
          <w:rFonts w:ascii="Times New Roman" w:hAnsi="Times New Roman" w:cs="Times New Roman"/>
          <w:sz w:val="24"/>
          <w:szCs w:val="24"/>
        </w:rPr>
        <w:t xml:space="preserve">As part of the planning process, DCF’s Office for Research and Evaluation prepared a population forecast </w:t>
      </w:r>
      <w:r w:rsidR="00EE0F82">
        <w:rPr>
          <w:rFonts w:ascii="Times New Roman" w:hAnsi="Times New Roman" w:cs="Times New Roman"/>
          <w:sz w:val="24"/>
          <w:szCs w:val="24"/>
        </w:rPr>
        <w:t>to determine the future need for secure beds in Connecticut’s juven</w:t>
      </w:r>
      <w:r w:rsidR="00751CF4">
        <w:rPr>
          <w:rFonts w:ascii="Times New Roman" w:hAnsi="Times New Roman" w:cs="Times New Roman"/>
          <w:sz w:val="24"/>
          <w:szCs w:val="24"/>
        </w:rPr>
        <w:t>ile justice system.  The census of CJTS reached 156 youth on June 1, 2014.  Since that date, the census has decreased steadily and has been averaging 4</w:t>
      </w:r>
      <w:r w:rsidR="007A020F">
        <w:rPr>
          <w:rFonts w:ascii="Times New Roman" w:hAnsi="Times New Roman" w:cs="Times New Roman"/>
          <w:sz w:val="24"/>
          <w:szCs w:val="24"/>
        </w:rPr>
        <w:t>8</w:t>
      </w:r>
      <w:r w:rsidR="00751CF4">
        <w:rPr>
          <w:rFonts w:ascii="Times New Roman" w:hAnsi="Times New Roman" w:cs="Times New Roman"/>
          <w:sz w:val="24"/>
          <w:szCs w:val="24"/>
        </w:rPr>
        <w:t xml:space="preserve"> youth during </w:t>
      </w:r>
      <w:r w:rsidR="00381E98">
        <w:rPr>
          <w:rFonts w:ascii="Times New Roman" w:hAnsi="Times New Roman" w:cs="Times New Roman"/>
          <w:sz w:val="24"/>
          <w:szCs w:val="24"/>
        </w:rPr>
        <w:t>the spring of 2016.  If the rate of change observed between February 2014 and February 2016 remains constant, the census of CJTS or any future secure facility would reach 19 youth by March 2018:</w:t>
      </w:r>
    </w:p>
    <w:p w:rsidR="00EE0F82" w:rsidRDefault="00EE0F82" w:rsidP="00C71731">
      <w:pPr>
        <w:spacing w:after="0"/>
        <w:rPr>
          <w:rFonts w:ascii="Times New Roman" w:hAnsi="Times New Roman" w:cs="Times New Roman"/>
          <w:sz w:val="24"/>
          <w:szCs w:val="24"/>
        </w:rPr>
      </w:pPr>
    </w:p>
    <w:p w:rsidR="00EE0F82" w:rsidRDefault="00EE0F82" w:rsidP="00C71731">
      <w:pPr>
        <w:spacing w:after="0"/>
        <w:rPr>
          <w:rFonts w:ascii="Times New Roman" w:hAnsi="Times New Roman" w:cs="Times New Roman"/>
          <w:sz w:val="24"/>
          <w:szCs w:val="24"/>
        </w:rPr>
      </w:pPr>
      <w:r>
        <w:rPr>
          <w:noProof/>
        </w:rPr>
        <w:drawing>
          <wp:inline distT="0" distB="0" distL="0" distR="0" wp14:anchorId="0891363D" wp14:editId="08BA718F">
            <wp:extent cx="5886450" cy="4159977"/>
            <wp:effectExtent l="76200" t="76200" r="133350" b="1263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154" t="21652" r="21474" b="6268"/>
                    <a:stretch/>
                  </pic:blipFill>
                  <pic:spPr bwMode="auto">
                    <a:xfrm>
                      <a:off x="0" y="0"/>
                      <a:ext cx="5909211" cy="41760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010EB" w:rsidRDefault="000010EB" w:rsidP="00C71731">
      <w:pPr>
        <w:spacing w:after="0"/>
        <w:rPr>
          <w:rFonts w:ascii="Times New Roman" w:hAnsi="Times New Roman" w:cs="Times New Roman"/>
          <w:sz w:val="24"/>
          <w:szCs w:val="24"/>
        </w:rPr>
      </w:pPr>
    </w:p>
    <w:p w:rsidR="00A701E2" w:rsidRDefault="00A701E2" w:rsidP="00C71731">
      <w:pPr>
        <w:spacing w:after="0"/>
        <w:rPr>
          <w:rFonts w:ascii="Times New Roman" w:hAnsi="Times New Roman" w:cs="Times New Roman"/>
          <w:sz w:val="24"/>
          <w:szCs w:val="24"/>
        </w:rPr>
      </w:pPr>
      <w:r>
        <w:rPr>
          <w:rFonts w:ascii="Times New Roman" w:hAnsi="Times New Roman" w:cs="Times New Roman"/>
          <w:sz w:val="24"/>
          <w:szCs w:val="24"/>
        </w:rPr>
        <w:t>The recent decrease in the census can be attributed to two DCF policy changes that limited the use of secure confinement for some youth:</w:t>
      </w:r>
    </w:p>
    <w:p w:rsidR="00A701E2" w:rsidRDefault="00A701E2" w:rsidP="00A701E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In May 2014, Commissioner Katz issued a directive requiring a teaming process and Commissioner approval before a youth can return to CJTS from the community;</w:t>
      </w:r>
    </w:p>
    <w:p w:rsidR="00A701E2" w:rsidRDefault="00A701E2" w:rsidP="00A701E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In October 2014, CJTS Superintendent Bill Rosenbeck instituted a length of stay protocol with the goal of limiting length of stay to six months for most youth.</w:t>
      </w:r>
    </w:p>
    <w:p w:rsidR="00A701E2" w:rsidRDefault="00A701E2" w:rsidP="00A701E2">
      <w:pPr>
        <w:spacing w:after="0"/>
        <w:rPr>
          <w:rFonts w:ascii="Times New Roman" w:hAnsi="Times New Roman" w:cs="Times New Roman"/>
          <w:sz w:val="24"/>
          <w:szCs w:val="24"/>
        </w:rPr>
      </w:pPr>
    </w:p>
    <w:p w:rsidR="00A701E2" w:rsidRDefault="008B6914" w:rsidP="00A701E2">
      <w:pPr>
        <w:spacing w:after="0"/>
        <w:rPr>
          <w:rFonts w:ascii="Times New Roman" w:hAnsi="Times New Roman" w:cs="Times New Roman"/>
          <w:sz w:val="24"/>
          <w:szCs w:val="24"/>
        </w:rPr>
      </w:pPr>
      <w:r>
        <w:rPr>
          <w:rFonts w:ascii="Times New Roman" w:hAnsi="Times New Roman" w:cs="Times New Roman"/>
          <w:sz w:val="24"/>
          <w:szCs w:val="24"/>
        </w:rPr>
        <w:t>Even given these policy changes and trends, however, the census of CJTS has recently averaged approximately 4</w:t>
      </w:r>
      <w:r w:rsidR="007A020F">
        <w:rPr>
          <w:rFonts w:ascii="Times New Roman" w:hAnsi="Times New Roman" w:cs="Times New Roman"/>
          <w:sz w:val="24"/>
          <w:szCs w:val="24"/>
        </w:rPr>
        <w:t>8</w:t>
      </w:r>
      <w:r>
        <w:rPr>
          <w:rFonts w:ascii="Times New Roman" w:hAnsi="Times New Roman" w:cs="Times New Roman"/>
          <w:sz w:val="24"/>
          <w:szCs w:val="24"/>
        </w:rPr>
        <w:t xml:space="preserve"> youth because of readmissions from the community.  Based on the average census, we estimate a future facility or facilities should have the capacity for 40 to 50 youth with </w:t>
      </w:r>
      <w:r>
        <w:rPr>
          <w:rFonts w:ascii="Times New Roman" w:hAnsi="Times New Roman" w:cs="Times New Roman"/>
          <w:sz w:val="24"/>
          <w:szCs w:val="24"/>
        </w:rPr>
        <w:lastRenderedPageBreak/>
        <w:t>the flexibility to downsize if the pop</w:t>
      </w:r>
      <w:r w:rsidR="007A020F">
        <w:rPr>
          <w:rFonts w:ascii="Times New Roman" w:hAnsi="Times New Roman" w:cs="Times New Roman"/>
          <w:sz w:val="24"/>
          <w:szCs w:val="24"/>
        </w:rPr>
        <w:t xml:space="preserve">ulation continues to decrease.  </w:t>
      </w:r>
      <w:r>
        <w:rPr>
          <w:rFonts w:ascii="Times New Roman" w:hAnsi="Times New Roman" w:cs="Times New Roman"/>
          <w:sz w:val="24"/>
          <w:szCs w:val="24"/>
        </w:rPr>
        <w:t xml:space="preserve">If the </w:t>
      </w:r>
      <w:r w:rsidR="00394236">
        <w:rPr>
          <w:rFonts w:ascii="Times New Roman" w:hAnsi="Times New Roman" w:cs="Times New Roman"/>
          <w:sz w:val="24"/>
          <w:szCs w:val="24"/>
        </w:rPr>
        <w:t>age of juvenile court jurisdiction is raised in the future to include young adults up to age twenty, additional facilities would have to be developed to a</w:t>
      </w:r>
      <w:r w:rsidR="007A020F">
        <w:rPr>
          <w:rFonts w:ascii="Times New Roman" w:hAnsi="Times New Roman" w:cs="Times New Roman"/>
          <w:sz w:val="24"/>
          <w:szCs w:val="24"/>
        </w:rPr>
        <w:t>ccommodate the increased census.  Also, it is unclear what impact the recent statutory changes limiting the use of pre-trial detention may have on the size of the population at CJTS.</w:t>
      </w:r>
    </w:p>
    <w:p w:rsidR="00394236" w:rsidRDefault="00394236" w:rsidP="00A701E2">
      <w:pPr>
        <w:spacing w:after="0"/>
        <w:rPr>
          <w:rFonts w:ascii="Times New Roman" w:hAnsi="Times New Roman" w:cs="Times New Roman"/>
          <w:sz w:val="24"/>
          <w:szCs w:val="24"/>
        </w:rPr>
      </w:pPr>
    </w:p>
    <w:p w:rsidR="006036A9" w:rsidRPr="006036A9" w:rsidRDefault="006036A9" w:rsidP="00A701E2">
      <w:pPr>
        <w:spacing w:after="0"/>
        <w:rPr>
          <w:rFonts w:ascii="Times New Roman" w:hAnsi="Times New Roman" w:cs="Times New Roman"/>
          <w:b/>
          <w:sz w:val="24"/>
          <w:szCs w:val="24"/>
          <w:u w:val="single"/>
        </w:rPr>
      </w:pPr>
      <w:r w:rsidRPr="006036A9">
        <w:rPr>
          <w:rFonts w:ascii="Times New Roman" w:hAnsi="Times New Roman" w:cs="Times New Roman"/>
          <w:b/>
          <w:sz w:val="24"/>
          <w:szCs w:val="24"/>
          <w:u w:val="single"/>
        </w:rPr>
        <w:t>Population Overview</w:t>
      </w:r>
    </w:p>
    <w:p w:rsidR="006036A9" w:rsidRDefault="006036A9" w:rsidP="00A701E2">
      <w:pPr>
        <w:spacing w:after="0"/>
        <w:rPr>
          <w:rFonts w:ascii="Times New Roman" w:hAnsi="Times New Roman" w:cs="Times New Roman"/>
          <w:sz w:val="24"/>
          <w:szCs w:val="24"/>
        </w:rPr>
      </w:pPr>
    </w:p>
    <w:p w:rsidR="00863265" w:rsidRPr="00B41C0D" w:rsidRDefault="006036A9" w:rsidP="00863265">
      <w:pPr>
        <w:pStyle w:val="BodyText"/>
      </w:pPr>
      <w:r w:rsidRPr="00B41C0D">
        <w:t xml:space="preserve">The overall trend for CJTS admissions has been declining in recent years.  </w:t>
      </w:r>
      <w:r w:rsidR="00863265" w:rsidRPr="00B41C0D">
        <w:t xml:space="preserve">There were 176 admissions of 149 unique (male) individuals to CJTS during 2015, compared to </w:t>
      </w:r>
      <w:r w:rsidRPr="00B41C0D">
        <w:t>222 admissions of 201 unique individuals</w:t>
      </w:r>
      <w:r w:rsidR="00C10424" w:rsidRPr="00B41C0D">
        <w:t xml:space="preserve"> in 2014</w:t>
      </w:r>
      <w:r w:rsidR="00863265" w:rsidRPr="00B41C0D">
        <w:t xml:space="preserve">.  There were 15 admissions of 11 unique (female) individuals to Pueblo during 2015. </w:t>
      </w:r>
    </w:p>
    <w:p w:rsidR="00863265" w:rsidRPr="00B41C0D" w:rsidRDefault="00863265" w:rsidP="00863265">
      <w:pPr>
        <w:pStyle w:val="BodyText"/>
      </w:pPr>
    </w:p>
    <w:p w:rsidR="00863265" w:rsidRPr="00B41C0D" w:rsidRDefault="00863265" w:rsidP="00863265">
      <w:pPr>
        <w:pStyle w:val="BodyText"/>
      </w:pPr>
      <w:r w:rsidRPr="00B41C0D">
        <w:rPr>
          <w:bCs/>
        </w:rPr>
        <w:t>The a</w:t>
      </w:r>
      <w:r w:rsidRPr="00B41C0D">
        <w:t xml:space="preserve">verage age at time of admission was 16.3 years for males (17.0 in 2014) and 17.0 for females (16.5 in 2014). </w:t>
      </w:r>
    </w:p>
    <w:p w:rsidR="00C10424" w:rsidRPr="00B41C0D" w:rsidRDefault="00C10424" w:rsidP="00863265">
      <w:pPr>
        <w:pStyle w:val="BodyText"/>
      </w:pPr>
    </w:p>
    <w:p w:rsidR="00C10424" w:rsidRPr="00B41C0D" w:rsidRDefault="00C10424" w:rsidP="00863265">
      <w:pPr>
        <w:pStyle w:val="BodyText"/>
      </w:pPr>
      <w:r w:rsidRPr="00B41C0D">
        <w:t>2015 Calendar year data:</w:t>
      </w:r>
    </w:p>
    <w:p w:rsidR="006036A9" w:rsidRPr="00B41C0D" w:rsidRDefault="006036A9" w:rsidP="00863265">
      <w:pPr>
        <w:pStyle w:val="BodyText"/>
      </w:pPr>
    </w:p>
    <w:p w:rsidR="006036A9" w:rsidRDefault="006036A9" w:rsidP="006036A9">
      <w:pPr>
        <w:pStyle w:val="BodyText"/>
        <w:rPr>
          <w:b/>
          <w:bCs/>
          <w:color w:val="000000"/>
        </w:rPr>
      </w:pPr>
      <w:r w:rsidRPr="002B1646">
        <w:rPr>
          <w:b/>
          <w:bCs/>
          <w:color w:val="000000"/>
        </w:rPr>
        <w:t xml:space="preserve">Table 1:  Ages of </w:t>
      </w:r>
      <w:r>
        <w:rPr>
          <w:b/>
          <w:bCs/>
          <w:color w:val="000000"/>
        </w:rPr>
        <w:t>Youth</w:t>
      </w:r>
      <w:r w:rsidRPr="002B1646">
        <w:rPr>
          <w:b/>
          <w:bCs/>
          <w:color w:val="000000"/>
        </w:rPr>
        <w:t xml:space="preserve"> at Time of Admission</w:t>
      </w:r>
    </w:p>
    <w:p w:rsidR="006036A9" w:rsidRDefault="006036A9" w:rsidP="006036A9">
      <w:pPr>
        <w:pStyle w:val="BodyText"/>
        <w:rPr>
          <w:b/>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70"/>
        <w:gridCol w:w="1080"/>
      </w:tblGrid>
      <w:tr w:rsidR="006036A9" w:rsidRPr="006036A9" w:rsidTr="006036A9">
        <w:tc>
          <w:tcPr>
            <w:tcW w:w="1260" w:type="dxa"/>
            <w:shd w:val="clear" w:color="auto" w:fill="D0CECE" w:themeFill="background2" w:themeFillShade="E6"/>
          </w:tcPr>
          <w:p w:rsidR="006036A9" w:rsidRPr="006036A9" w:rsidRDefault="006036A9" w:rsidP="006D0972">
            <w:pPr>
              <w:pStyle w:val="BodyText"/>
              <w:jc w:val="left"/>
              <w:rPr>
                <w:b/>
                <w:bCs/>
                <w:color w:val="000000"/>
                <w:sz w:val="22"/>
                <w:szCs w:val="22"/>
              </w:rPr>
            </w:pPr>
            <w:r w:rsidRPr="006036A9">
              <w:rPr>
                <w:b/>
                <w:bCs/>
                <w:color w:val="000000"/>
                <w:sz w:val="22"/>
                <w:szCs w:val="22"/>
              </w:rPr>
              <w:t>Age at Admission</w:t>
            </w:r>
          </w:p>
        </w:tc>
        <w:tc>
          <w:tcPr>
            <w:tcW w:w="1170" w:type="dxa"/>
            <w:shd w:val="clear" w:color="auto" w:fill="D0CECE" w:themeFill="background2" w:themeFillShade="E6"/>
          </w:tcPr>
          <w:p w:rsidR="006036A9" w:rsidRPr="006036A9" w:rsidRDefault="006036A9" w:rsidP="006D0972">
            <w:pPr>
              <w:pStyle w:val="BodyText"/>
              <w:rPr>
                <w:b/>
                <w:bCs/>
                <w:color w:val="000000"/>
                <w:sz w:val="22"/>
                <w:szCs w:val="22"/>
              </w:rPr>
            </w:pPr>
            <w:r w:rsidRPr="006036A9">
              <w:rPr>
                <w:b/>
                <w:bCs/>
                <w:color w:val="000000"/>
                <w:sz w:val="22"/>
                <w:szCs w:val="22"/>
              </w:rPr>
              <w:t># Males</w:t>
            </w:r>
          </w:p>
        </w:tc>
        <w:tc>
          <w:tcPr>
            <w:tcW w:w="1080" w:type="dxa"/>
            <w:shd w:val="clear" w:color="auto" w:fill="D0CECE" w:themeFill="background2" w:themeFillShade="E6"/>
          </w:tcPr>
          <w:p w:rsidR="006036A9" w:rsidRPr="006036A9" w:rsidRDefault="006036A9" w:rsidP="006D0972">
            <w:pPr>
              <w:pStyle w:val="BodyText"/>
              <w:rPr>
                <w:b/>
                <w:bCs/>
                <w:color w:val="000000"/>
                <w:sz w:val="22"/>
                <w:szCs w:val="22"/>
              </w:rPr>
            </w:pPr>
            <w:r w:rsidRPr="006036A9">
              <w:rPr>
                <w:b/>
                <w:bCs/>
                <w:color w:val="000000"/>
                <w:sz w:val="22"/>
                <w:szCs w:val="22"/>
              </w:rPr>
              <w:t># Females</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13</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1</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0</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14</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8</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0</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15</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26</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2</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16</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58</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2</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17</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64</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6</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18</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17</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4</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19</w:t>
            </w:r>
          </w:p>
        </w:tc>
        <w:tc>
          <w:tcPr>
            <w:tcW w:w="117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2</w:t>
            </w:r>
          </w:p>
        </w:tc>
        <w:tc>
          <w:tcPr>
            <w:tcW w:w="1080" w:type="dxa"/>
            <w:shd w:val="clear" w:color="auto" w:fill="auto"/>
          </w:tcPr>
          <w:p w:rsidR="006036A9" w:rsidRPr="006036A9" w:rsidRDefault="006036A9" w:rsidP="006D0972">
            <w:pPr>
              <w:pStyle w:val="BodyText"/>
              <w:rPr>
                <w:bCs/>
                <w:color w:val="000000"/>
                <w:sz w:val="22"/>
                <w:szCs w:val="22"/>
              </w:rPr>
            </w:pPr>
            <w:r w:rsidRPr="006036A9">
              <w:rPr>
                <w:bCs/>
                <w:color w:val="000000"/>
                <w:sz w:val="22"/>
                <w:szCs w:val="22"/>
              </w:rPr>
              <w:t>1</w:t>
            </w:r>
          </w:p>
        </w:tc>
      </w:tr>
      <w:tr w:rsidR="006036A9" w:rsidRPr="006036A9" w:rsidTr="006036A9">
        <w:tc>
          <w:tcPr>
            <w:tcW w:w="126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Total</w:t>
            </w:r>
          </w:p>
        </w:tc>
        <w:tc>
          <w:tcPr>
            <w:tcW w:w="117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176</w:t>
            </w:r>
          </w:p>
        </w:tc>
        <w:tc>
          <w:tcPr>
            <w:tcW w:w="1080" w:type="dxa"/>
            <w:shd w:val="clear" w:color="auto" w:fill="auto"/>
          </w:tcPr>
          <w:p w:rsidR="006036A9" w:rsidRPr="006036A9" w:rsidRDefault="006036A9" w:rsidP="006D0972">
            <w:pPr>
              <w:pStyle w:val="BodyText"/>
              <w:rPr>
                <w:b/>
                <w:bCs/>
                <w:color w:val="000000"/>
                <w:sz w:val="22"/>
                <w:szCs w:val="22"/>
              </w:rPr>
            </w:pPr>
            <w:r w:rsidRPr="006036A9">
              <w:rPr>
                <w:b/>
                <w:bCs/>
                <w:color w:val="000000"/>
                <w:sz w:val="22"/>
                <w:szCs w:val="22"/>
              </w:rPr>
              <w:t>15</w:t>
            </w:r>
          </w:p>
        </w:tc>
      </w:tr>
    </w:tbl>
    <w:p w:rsidR="00863265" w:rsidRDefault="00863265" w:rsidP="00863265">
      <w:pPr>
        <w:pStyle w:val="BodyText"/>
        <w:rPr>
          <w:b/>
          <w:bCs/>
          <w:color w:val="000000"/>
        </w:rPr>
      </w:pPr>
    </w:p>
    <w:p w:rsidR="006036A9" w:rsidRPr="00181DFA" w:rsidRDefault="006036A9" w:rsidP="00863265">
      <w:pPr>
        <w:pStyle w:val="BodyText"/>
        <w:rPr>
          <w:b/>
          <w:bCs/>
          <w:color w:val="000000"/>
        </w:rPr>
      </w:pPr>
    </w:p>
    <w:p w:rsidR="00863265" w:rsidRPr="00181DFA" w:rsidRDefault="006036A9" w:rsidP="00863265">
      <w:pPr>
        <w:pStyle w:val="BodyText"/>
        <w:rPr>
          <w:b/>
          <w:bCs/>
          <w:color w:val="000000"/>
        </w:rPr>
      </w:pPr>
      <w:r>
        <w:rPr>
          <w:b/>
          <w:bCs/>
          <w:color w:val="000000"/>
        </w:rPr>
        <w:t>Table 2</w:t>
      </w:r>
      <w:r w:rsidR="00863265" w:rsidRPr="00181DFA">
        <w:rPr>
          <w:b/>
          <w:bCs/>
          <w:color w:val="000000"/>
        </w:rPr>
        <w:t>: Race/Ethnicity of Admissions</w:t>
      </w:r>
    </w:p>
    <w:p w:rsidR="00863265" w:rsidRPr="00181DFA" w:rsidRDefault="00863265" w:rsidP="00863265">
      <w:pPr>
        <w:jc w:val="both"/>
        <w:rPr>
          <w:rFonts w:ascii="Times New Roman" w:hAnsi="Times New Roman" w:cs="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990"/>
        <w:gridCol w:w="990"/>
        <w:gridCol w:w="990"/>
        <w:gridCol w:w="990"/>
      </w:tblGrid>
      <w:tr w:rsidR="00863265" w:rsidRPr="006036A9" w:rsidTr="00181DFA">
        <w:trPr>
          <w:cantSplit/>
        </w:trPr>
        <w:tc>
          <w:tcPr>
            <w:tcW w:w="1867" w:type="dxa"/>
            <w:shd w:val="clear" w:color="auto" w:fill="B3B3B3"/>
          </w:tcPr>
          <w:p w:rsidR="00863265" w:rsidRPr="006036A9" w:rsidRDefault="00863265" w:rsidP="006D0972">
            <w:pPr>
              <w:jc w:val="both"/>
              <w:rPr>
                <w:rFonts w:ascii="Times New Roman" w:hAnsi="Times New Roman" w:cs="Times New Roman"/>
                <w:b/>
                <w:color w:val="000000"/>
              </w:rPr>
            </w:pPr>
          </w:p>
        </w:tc>
        <w:tc>
          <w:tcPr>
            <w:tcW w:w="3960" w:type="dxa"/>
            <w:gridSpan w:val="4"/>
            <w:shd w:val="clear" w:color="auto" w:fill="D9D9D9"/>
          </w:tcPr>
          <w:p w:rsidR="00863265" w:rsidRPr="006036A9" w:rsidRDefault="00863265" w:rsidP="006D0972">
            <w:pPr>
              <w:pStyle w:val="Heading2"/>
              <w:jc w:val="both"/>
              <w:rPr>
                <w:color w:val="000000"/>
                <w:sz w:val="22"/>
                <w:szCs w:val="22"/>
              </w:rPr>
            </w:pPr>
            <w:r w:rsidRPr="006036A9">
              <w:rPr>
                <w:color w:val="000000"/>
                <w:sz w:val="22"/>
                <w:szCs w:val="22"/>
              </w:rPr>
              <w:t xml:space="preserve">           Males                            Females</w:t>
            </w:r>
          </w:p>
        </w:tc>
      </w:tr>
      <w:tr w:rsidR="00863265" w:rsidRPr="006036A9" w:rsidTr="00181DFA">
        <w:trPr>
          <w:cantSplit/>
        </w:trPr>
        <w:tc>
          <w:tcPr>
            <w:tcW w:w="1867" w:type="dxa"/>
            <w:shd w:val="clear" w:color="auto" w:fill="B3B3B3"/>
          </w:tcPr>
          <w:p w:rsidR="00863265" w:rsidRPr="006036A9" w:rsidRDefault="00863265" w:rsidP="006D0972">
            <w:pPr>
              <w:jc w:val="both"/>
              <w:rPr>
                <w:rFonts w:ascii="Times New Roman" w:hAnsi="Times New Roman" w:cs="Times New Roman"/>
                <w:b/>
                <w:color w:val="000000"/>
              </w:rPr>
            </w:pPr>
            <w:r w:rsidRPr="006036A9">
              <w:rPr>
                <w:rFonts w:ascii="Times New Roman" w:hAnsi="Times New Roman" w:cs="Times New Roman"/>
                <w:b/>
                <w:color w:val="000000"/>
              </w:rPr>
              <w:t>Race/Ethnicity</w:t>
            </w:r>
          </w:p>
        </w:tc>
        <w:tc>
          <w:tcPr>
            <w:tcW w:w="990" w:type="dxa"/>
            <w:shd w:val="clear" w:color="auto" w:fill="D9D9D9"/>
          </w:tcPr>
          <w:p w:rsidR="00863265" w:rsidRPr="006036A9" w:rsidRDefault="00863265" w:rsidP="006D0972">
            <w:pPr>
              <w:pStyle w:val="Heading2"/>
              <w:jc w:val="both"/>
              <w:rPr>
                <w:color w:val="000000"/>
                <w:sz w:val="22"/>
                <w:szCs w:val="22"/>
              </w:rPr>
            </w:pPr>
            <w:r w:rsidRPr="006036A9">
              <w:rPr>
                <w:color w:val="000000"/>
                <w:sz w:val="22"/>
                <w:szCs w:val="22"/>
              </w:rPr>
              <w:t>#</w:t>
            </w:r>
          </w:p>
        </w:tc>
        <w:tc>
          <w:tcPr>
            <w:tcW w:w="990" w:type="dxa"/>
            <w:shd w:val="clear" w:color="auto" w:fill="D9D9D9"/>
          </w:tcPr>
          <w:p w:rsidR="00863265" w:rsidRPr="006036A9" w:rsidRDefault="00863265" w:rsidP="006D0972">
            <w:pPr>
              <w:pStyle w:val="Heading2"/>
              <w:jc w:val="both"/>
              <w:rPr>
                <w:color w:val="000000"/>
                <w:sz w:val="22"/>
                <w:szCs w:val="22"/>
              </w:rPr>
            </w:pPr>
            <w:r w:rsidRPr="006036A9">
              <w:rPr>
                <w:color w:val="000000"/>
                <w:sz w:val="22"/>
                <w:szCs w:val="22"/>
              </w:rPr>
              <w:t>%</w:t>
            </w:r>
          </w:p>
        </w:tc>
        <w:tc>
          <w:tcPr>
            <w:tcW w:w="990" w:type="dxa"/>
            <w:shd w:val="clear" w:color="auto" w:fill="D9D9D9"/>
          </w:tcPr>
          <w:p w:rsidR="00863265" w:rsidRPr="006036A9" w:rsidRDefault="00863265" w:rsidP="006D0972">
            <w:pPr>
              <w:pStyle w:val="Heading2"/>
              <w:jc w:val="both"/>
              <w:rPr>
                <w:color w:val="000000"/>
                <w:sz w:val="22"/>
                <w:szCs w:val="22"/>
              </w:rPr>
            </w:pPr>
            <w:r w:rsidRPr="006036A9">
              <w:rPr>
                <w:color w:val="000000"/>
                <w:sz w:val="22"/>
                <w:szCs w:val="22"/>
              </w:rPr>
              <w:t>#</w:t>
            </w:r>
          </w:p>
        </w:tc>
        <w:tc>
          <w:tcPr>
            <w:tcW w:w="990" w:type="dxa"/>
            <w:shd w:val="clear" w:color="auto" w:fill="D9D9D9"/>
          </w:tcPr>
          <w:p w:rsidR="00863265" w:rsidRPr="006036A9" w:rsidRDefault="00863265" w:rsidP="006D0972">
            <w:pPr>
              <w:pStyle w:val="Heading2"/>
              <w:jc w:val="both"/>
              <w:rPr>
                <w:color w:val="000000"/>
                <w:sz w:val="22"/>
                <w:szCs w:val="22"/>
              </w:rPr>
            </w:pPr>
            <w:r w:rsidRPr="006036A9">
              <w:rPr>
                <w:color w:val="000000"/>
                <w:sz w:val="22"/>
                <w:szCs w:val="22"/>
              </w:rPr>
              <w:t>%</w:t>
            </w:r>
          </w:p>
        </w:tc>
      </w:tr>
      <w:tr w:rsidR="00863265" w:rsidRPr="006036A9" w:rsidTr="00181DFA">
        <w:tc>
          <w:tcPr>
            <w:tcW w:w="1867" w:type="dxa"/>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African-American</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85</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48.3</w:t>
            </w:r>
            <w:r w:rsidR="00181DFA" w:rsidRPr="006036A9">
              <w:rPr>
                <w:rFonts w:ascii="Times New Roman" w:hAnsi="Times New Roman" w:cs="Times New Roman"/>
                <w:color w:val="000000"/>
              </w:rPr>
              <w:t>%</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2</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13.3</w:t>
            </w:r>
            <w:r w:rsidR="00181DFA" w:rsidRPr="006036A9">
              <w:rPr>
                <w:rFonts w:ascii="Times New Roman" w:hAnsi="Times New Roman" w:cs="Times New Roman"/>
                <w:color w:val="000000"/>
              </w:rPr>
              <w:t>%</w:t>
            </w:r>
          </w:p>
        </w:tc>
      </w:tr>
      <w:tr w:rsidR="00863265" w:rsidRPr="006036A9" w:rsidTr="00181DFA">
        <w:tc>
          <w:tcPr>
            <w:tcW w:w="1867" w:type="dxa"/>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Hispanic</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49</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27.8</w:t>
            </w:r>
            <w:r w:rsidR="00181DFA" w:rsidRPr="006036A9">
              <w:rPr>
                <w:rFonts w:ascii="Times New Roman" w:hAnsi="Times New Roman" w:cs="Times New Roman"/>
                <w:color w:val="000000"/>
              </w:rPr>
              <w:t>%</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8</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53.3</w:t>
            </w:r>
            <w:r w:rsidR="00181DFA" w:rsidRPr="006036A9">
              <w:rPr>
                <w:rFonts w:ascii="Times New Roman" w:hAnsi="Times New Roman" w:cs="Times New Roman"/>
                <w:color w:val="000000"/>
              </w:rPr>
              <w:t>%</w:t>
            </w:r>
          </w:p>
        </w:tc>
      </w:tr>
      <w:tr w:rsidR="00863265" w:rsidRPr="006036A9" w:rsidTr="00181DFA">
        <w:tc>
          <w:tcPr>
            <w:tcW w:w="1867" w:type="dxa"/>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Caucasian</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24</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13.6</w:t>
            </w:r>
            <w:r w:rsidR="00181DFA" w:rsidRPr="006036A9">
              <w:rPr>
                <w:rFonts w:ascii="Times New Roman" w:hAnsi="Times New Roman" w:cs="Times New Roman"/>
                <w:color w:val="000000"/>
              </w:rPr>
              <w:t>%</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4</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26.7</w:t>
            </w:r>
            <w:r w:rsidR="00181DFA" w:rsidRPr="006036A9">
              <w:rPr>
                <w:rFonts w:ascii="Times New Roman" w:hAnsi="Times New Roman" w:cs="Times New Roman"/>
                <w:color w:val="000000"/>
              </w:rPr>
              <w:t>%</w:t>
            </w:r>
          </w:p>
        </w:tc>
      </w:tr>
      <w:tr w:rsidR="00863265" w:rsidRPr="006036A9" w:rsidTr="00181DFA">
        <w:tc>
          <w:tcPr>
            <w:tcW w:w="1867" w:type="dxa"/>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Other</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18</w:t>
            </w:r>
          </w:p>
        </w:tc>
        <w:tc>
          <w:tcPr>
            <w:tcW w:w="990" w:type="dxa"/>
            <w:vAlign w:val="center"/>
          </w:tcPr>
          <w:p w:rsidR="00863265" w:rsidRPr="006036A9"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10.2</w:t>
            </w:r>
            <w:r w:rsidR="00181DFA" w:rsidRPr="006036A9">
              <w:rPr>
                <w:rFonts w:ascii="Times New Roman" w:hAnsi="Times New Roman" w:cs="Times New Roman"/>
                <w:color w:val="000000"/>
              </w:rPr>
              <w:t>%</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1</w:t>
            </w:r>
          </w:p>
        </w:tc>
        <w:tc>
          <w:tcPr>
            <w:tcW w:w="990" w:type="dxa"/>
          </w:tcPr>
          <w:p w:rsidR="00863265" w:rsidRPr="006036A9" w:rsidDel="007D071D" w:rsidRDefault="00863265" w:rsidP="006D0972">
            <w:pPr>
              <w:jc w:val="both"/>
              <w:rPr>
                <w:rFonts w:ascii="Times New Roman" w:hAnsi="Times New Roman" w:cs="Times New Roman"/>
                <w:color w:val="000000"/>
              </w:rPr>
            </w:pPr>
            <w:r w:rsidRPr="006036A9">
              <w:rPr>
                <w:rFonts w:ascii="Times New Roman" w:hAnsi="Times New Roman" w:cs="Times New Roman"/>
                <w:color w:val="000000"/>
              </w:rPr>
              <w:t>6.7</w:t>
            </w:r>
            <w:r w:rsidR="00181DFA" w:rsidRPr="006036A9">
              <w:rPr>
                <w:rFonts w:ascii="Times New Roman" w:hAnsi="Times New Roman" w:cs="Times New Roman"/>
                <w:color w:val="000000"/>
              </w:rPr>
              <w:t>%</w:t>
            </w:r>
          </w:p>
        </w:tc>
      </w:tr>
      <w:tr w:rsidR="00863265" w:rsidRPr="006036A9" w:rsidTr="00181DFA">
        <w:tc>
          <w:tcPr>
            <w:tcW w:w="1867" w:type="dxa"/>
            <w:shd w:val="clear" w:color="auto" w:fill="E0E0E0"/>
          </w:tcPr>
          <w:p w:rsidR="00863265" w:rsidRPr="006036A9" w:rsidRDefault="00863265" w:rsidP="006D0972">
            <w:pPr>
              <w:jc w:val="both"/>
              <w:rPr>
                <w:rFonts w:ascii="Times New Roman" w:hAnsi="Times New Roman" w:cs="Times New Roman"/>
                <w:b/>
                <w:color w:val="000000"/>
              </w:rPr>
            </w:pPr>
            <w:r w:rsidRPr="006036A9">
              <w:rPr>
                <w:rFonts w:ascii="Times New Roman" w:hAnsi="Times New Roman" w:cs="Times New Roman"/>
                <w:b/>
                <w:color w:val="000000"/>
              </w:rPr>
              <w:t>Total</w:t>
            </w:r>
          </w:p>
        </w:tc>
        <w:tc>
          <w:tcPr>
            <w:tcW w:w="990" w:type="dxa"/>
            <w:shd w:val="clear" w:color="auto" w:fill="E0E0E0"/>
            <w:vAlign w:val="center"/>
          </w:tcPr>
          <w:p w:rsidR="00863265" w:rsidRPr="006036A9" w:rsidRDefault="00863265" w:rsidP="006D0972">
            <w:pPr>
              <w:jc w:val="both"/>
              <w:rPr>
                <w:rFonts w:ascii="Times New Roman" w:hAnsi="Times New Roman" w:cs="Times New Roman"/>
                <w:b/>
                <w:color w:val="000000"/>
              </w:rPr>
            </w:pPr>
            <w:r w:rsidRPr="006036A9">
              <w:rPr>
                <w:rFonts w:ascii="Times New Roman" w:hAnsi="Times New Roman" w:cs="Times New Roman"/>
                <w:b/>
                <w:color w:val="000000"/>
              </w:rPr>
              <w:t>176</w:t>
            </w:r>
          </w:p>
        </w:tc>
        <w:tc>
          <w:tcPr>
            <w:tcW w:w="990" w:type="dxa"/>
            <w:shd w:val="clear" w:color="auto" w:fill="E0E0E0"/>
            <w:vAlign w:val="center"/>
          </w:tcPr>
          <w:p w:rsidR="00863265" w:rsidRPr="006036A9" w:rsidRDefault="00181DFA" w:rsidP="006D0972">
            <w:pPr>
              <w:jc w:val="both"/>
              <w:rPr>
                <w:rFonts w:ascii="Times New Roman" w:hAnsi="Times New Roman" w:cs="Times New Roman"/>
                <w:b/>
                <w:color w:val="000000"/>
              </w:rPr>
            </w:pPr>
            <w:r w:rsidRPr="006036A9">
              <w:rPr>
                <w:rFonts w:ascii="Times New Roman" w:hAnsi="Times New Roman" w:cs="Times New Roman"/>
                <w:b/>
                <w:color w:val="000000"/>
              </w:rPr>
              <w:t>100%</w:t>
            </w:r>
          </w:p>
        </w:tc>
        <w:tc>
          <w:tcPr>
            <w:tcW w:w="990" w:type="dxa"/>
            <w:shd w:val="clear" w:color="auto" w:fill="E0E0E0"/>
          </w:tcPr>
          <w:p w:rsidR="00863265" w:rsidRPr="006036A9" w:rsidDel="007D071D" w:rsidRDefault="00863265" w:rsidP="006D0972">
            <w:pPr>
              <w:jc w:val="both"/>
              <w:rPr>
                <w:rFonts w:ascii="Times New Roman" w:hAnsi="Times New Roman" w:cs="Times New Roman"/>
                <w:b/>
                <w:color w:val="000000"/>
              </w:rPr>
            </w:pPr>
            <w:r w:rsidRPr="006036A9">
              <w:rPr>
                <w:rFonts w:ascii="Times New Roman" w:hAnsi="Times New Roman" w:cs="Times New Roman"/>
                <w:b/>
                <w:color w:val="000000"/>
              </w:rPr>
              <w:t>15</w:t>
            </w:r>
          </w:p>
        </w:tc>
        <w:tc>
          <w:tcPr>
            <w:tcW w:w="990" w:type="dxa"/>
            <w:shd w:val="clear" w:color="auto" w:fill="E0E0E0"/>
          </w:tcPr>
          <w:p w:rsidR="00863265" w:rsidRPr="006036A9" w:rsidDel="007D071D" w:rsidRDefault="00863265" w:rsidP="006D0972">
            <w:pPr>
              <w:jc w:val="both"/>
              <w:rPr>
                <w:rFonts w:ascii="Times New Roman" w:hAnsi="Times New Roman" w:cs="Times New Roman"/>
                <w:b/>
                <w:color w:val="000000"/>
              </w:rPr>
            </w:pPr>
            <w:r w:rsidRPr="006036A9">
              <w:rPr>
                <w:rFonts w:ascii="Times New Roman" w:hAnsi="Times New Roman" w:cs="Times New Roman"/>
                <w:b/>
                <w:color w:val="000000"/>
              </w:rPr>
              <w:t>100</w:t>
            </w:r>
            <w:r w:rsidR="00181DFA" w:rsidRPr="006036A9">
              <w:rPr>
                <w:rFonts w:ascii="Times New Roman" w:hAnsi="Times New Roman" w:cs="Times New Roman"/>
                <w:b/>
                <w:color w:val="000000"/>
              </w:rPr>
              <w:t>%</w:t>
            </w:r>
          </w:p>
        </w:tc>
      </w:tr>
    </w:tbl>
    <w:p w:rsidR="008E0A0D" w:rsidRDefault="008E0A0D" w:rsidP="006036A9">
      <w:pPr>
        <w:pStyle w:val="BodyText"/>
        <w:rPr>
          <w:b/>
          <w:bCs/>
          <w:color w:val="000000"/>
        </w:rPr>
      </w:pPr>
    </w:p>
    <w:p w:rsidR="006036A9" w:rsidRPr="00181DFA" w:rsidRDefault="006036A9" w:rsidP="006036A9">
      <w:pPr>
        <w:pStyle w:val="BodyText"/>
        <w:rPr>
          <w:b/>
          <w:bCs/>
          <w:color w:val="000000"/>
        </w:rPr>
      </w:pPr>
      <w:r>
        <w:rPr>
          <w:b/>
          <w:bCs/>
          <w:color w:val="000000"/>
        </w:rPr>
        <w:t>Table 3</w:t>
      </w:r>
      <w:r w:rsidRPr="00181DFA">
        <w:rPr>
          <w:b/>
          <w:bCs/>
          <w:color w:val="000000"/>
        </w:rPr>
        <w:t xml:space="preserve">: </w:t>
      </w:r>
      <w:r>
        <w:rPr>
          <w:b/>
          <w:bCs/>
          <w:color w:val="000000"/>
        </w:rPr>
        <w:t>Primary Adjudication of Admissions</w:t>
      </w:r>
    </w:p>
    <w:p w:rsidR="006036A9" w:rsidRPr="00181DFA" w:rsidRDefault="006036A9" w:rsidP="00381E98">
      <w:pPr>
        <w:spacing w:after="0"/>
        <w:rPr>
          <w:rFonts w:ascii="Times New Roman" w:hAnsi="Times New Roman" w:cs="Times New Roman"/>
          <w:sz w:val="24"/>
          <w:szCs w:val="24"/>
        </w:rPr>
      </w:pPr>
    </w:p>
    <w:p w:rsidR="00181DFA" w:rsidRPr="00181DFA" w:rsidRDefault="00181DFA" w:rsidP="00381E98">
      <w:pPr>
        <w:spacing w:after="0"/>
        <w:rPr>
          <w:rFonts w:ascii="Times New Roman" w:hAnsi="Times New Roman" w:cs="Times New Roman"/>
          <w:sz w:val="24"/>
          <w:szCs w:val="24"/>
        </w:rPr>
      </w:pPr>
    </w:p>
    <w:tbl>
      <w:tblPr>
        <w:tblW w:w="4820" w:type="dxa"/>
        <w:tblLook w:val="04A0" w:firstRow="1" w:lastRow="0" w:firstColumn="1" w:lastColumn="0" w:noHBand="0" w:noVBand="1"/>
      </w:tblPr>
      <w:tblGrid>
        <w:gridCol w:w="3640"/>
        <w:gridCol w:w="1390"/>
      </w:tblGrid>
      <w:tr w:rsidR="00181DFA" w:rsidRPr="00181DFA" w:rsidTr="00181DFA">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81DFA" w:rsidRPr="00181DFA" w:rsidRDefault="00181DFA" w:rsidP="00181DFA">
            <w:pPr>
              <w:spacing w:after="0" w:line="240" w:lineRule="auto"/>
              <w:rPr>
                <w:rFonts w:ascii="Times New Roman" w:eastAsia="Times New Roman" w:hAnsi="Times New Roman" w:cs="Times New Roman"/>
                <w:b/>
                <w:bCs/>
                <w:color w:val="000000"/>
                <w:sz w:val="24"/>
                <w:szCs w:val="24"/>
              </w:rPr>
            </w:pPr>
            <w:r w:rsidRPr="00181DFA">
              <w:rPr>
                <w:rFonts w:ascii="Times New Roman" w:eastAsia="Times New Roman" w:hAnsi="Times New Roman" w:cs="Times New Roman"/>
                <w:b/>
                <w:bCs/>
                <w:color w:val="000000"/>
                <w:sz w:val="24"/>
                <w:szCs w:val="24"/>
              </w:rPr>
              <w:t>Primary Adjudication</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rsidR="00181DFA" w:rsidRPr="00181DFA" w:rsidRDefault="00181DFA" w:rsidP="00181DFA">
            <w:pPr>
              <w:spacing w:after="0" w:line="240" w:lineRule="auto"/>
              <w:rPr>
                <w:rFonts w:ascii="Times New Roman" w:eastAsia="Times New Roman" w:hAnsi="Times New Roman" w:cs="Times New Roman"/>
                <w:b/>
                <w:bCs/>
                <w:color w:val="000000"/>
                <w:sz w:val="24"/>
                <w:szCs w:val="24"/>
              </w:rPr>
            </w:pPr>
            <w:r w:rsidRPr="00181DFA">
              <w:rPr>
                <w:rFonts w:ascii="Times New Roman" w:eastAsia="Times New Roman" w:hAnsi="Times New Roman" w:cs="Times New Roman"/>
                <w:b/>
                <w:bCs/>
                <w:color w:val="000000"/>
                <w:sz w:val="24"/>
                <w:szCs w:val="24"/>
              </w:rPr>
              <w:t>Admissions</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Larceny/Burglary</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41</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Weapons Charges</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25</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Robbery</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21</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Violation of Court Order/Probation</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20</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Assault</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18</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Narcotics Charges</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12</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Breach of Peace</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9</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Threatening</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7</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Escape from Custody</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4</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Sexual Assault</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4</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Criminal Trespass</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3</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Reckless Endangerment</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3</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Bribery</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2</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Interfering with Officer/Resisting</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2</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Use of Motor Vehicle w/o Permission</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2</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Disorderly Conduct</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1</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Failure to Appear</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1</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Criminal Mischief</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1</w:t>
            </w:r>
          </w:p>
        </w:tc>
      </w:tr>
      <w:tr w:rsidR="00181DFA" w:rsidRPr="00181DFA" w:rsidTr="00181DF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Total Admissions</w:t>
            </w:r>
          </w:p>
        </w:tc>
        <w:tc>
          <w:tcPr>
            <w:tcW w:w="1180" w:type="dxa"/>
            <w:tcBorders>
              <w:top w:val="nil"/>
              <w:left w:val="nil"/>
              <w:bottom w:val="single" w:sz="4" w:space="0" w:color="auto"/>
              <w:right w:val="single" w:sz="4" w:space="0" w:color="auto"/>
            </w:tcBorders>
            <w:shd w:val="clear" w:color="auto" w:fill="auto"/>
            <w:noWrap/>
            <w:vAlign w:val="bottom"/>
            <w:hideMark/>
          </w:tcPr>
          <w:p w:rsidR="00181DFA" w:rsidRPr="00181DFA" w:rsidRDefault="00181DFA" w:rsidP="00181DFA">
            <w:pPr>
              <w:spacing w:after="0" w:line="240" w:lineRule="auto"/>
              <w:jc w:val="right"/>
              <w:rPr>
                <w:rFonts w:ascii="Times New Roman" w:eastAsia="Times New Roman" w:hAnsi="Times New Roman" w:cs="Times New Roman"/>
                <w:color w:val="000000"/>
                <w:sz w:val="24"/>
                <w:szCs w:val="24"/>
              </w:rPr>
            </w:pPr>
            <w:r w:rsidRPr="00181DFA">
              <w:rPr>
                <w:rFonts w:ascii="Times New Roman" w:eastAsia="Times New Roman" w:hAnsi="Times New Roman" w:cs="Times New Roman"/>
                <w:color w:val="000000"/>
                <w:sz w:val="24"/>
                <w:szCs w:val="24"/>
              </w:rPr>
              <w:t>176</w:t>
            </w:r>
          </w:p>
        </w:tc>
      </w:tr>
    </w:tbl>
    <w:p w:rsidR="00181DFA" w:rsidRDefault="00181DFA"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Default="006036A9" w:rsidP="00381E98">
      <w:pPr>
        <w:spacing w:after="0"/>
        <w:rPr>
          <w:rFonts w:ascii="Times New Roman" w:hAnsi="Times New Roman" w:cs="Times New Roman"/>
          <w:sz w:val="24"/>
          <w:szCs w:val="24"/>
        </w:rPr>
      </w:pPr>
    </w:p>
    <w:p w:rsidR="006036A9" w:rsidRPr="00381E98" w:rsidRDefault="006036A9" w:rsidP="00381E98">
      <w:pPr>
        <w:spacing w:after="0"/>
        <w:rPr>
          <w:rFonts w:ascii="Times New Roman" w:hAnsi="Times New Roman" w:cs="Times New Roman"/>
          <w:sz w:val="24"/>
          <w:szCs w:val="24"/>
        </w:rPr>
      </w:pPr>
    </w:p>
    <w:p w:rsidR="00927F25" w:rsidRPr="00ED6F97" w:rsidRDefault="00927F25" w:rsidP="00C71731">
      <w:pPr>
        <w:spacing w:after="0"/>
        <w:rPr>
          <w:rFonts w:ascii="Times New Roman" w:hAnsi="Times New Roman" w:cs="Times New Roman"/>
          <w:sz w:val="24"/>
          <w:szCs w:val="24"/>
        </w:rPr>
      </w:pPr>
      <w:r w:rsidRPr="00ED6F97">
        <w:rPr>
          <w:rFonts w:ascii="Times New Roman" w:hAnsi="Times New Roman" w:cs="Times New Roman"/>
          <w:b/>
          <w:sz w:val="24"/>
          <w:szCs w:val="24"/>
          <w:u w:val="single"/>
        </w:rPr>
        <w:lastRenderedPageBreak/>
        <w:t>CJTS Closure Plan</w:t>
      </w:r>
    </w:p>
    <w:p w:rsidR="00C71731" w:rsidRDefault="00C71731" w:rsidP="00C71731">
      <w:pPr>
        <w:spacing w:after="0"/>
        <w:rPr>
          <w:rFonts w:ascii="Times New Roman" w:hAnsi="Times New Roman" w:cs="Times New Roman"/>
          <w:sz w:val="24"/>
          <w:szCs w:val="24"/>
        </w:rPr>
      </w:pPr>
    </w:p>
    <w:p w:rsidR="00D01CEF" w:rsidRDefault="00D01CEF" w:rsidP="00C71731">
      <w:pPr>
        <w:spacing w:after="0"/>
        <w:rPr>
          <w:rFonts w:ascii="Times New Roman" w:hAnsi="Times New Roman" w:cs="Times New Roman"/>
          <w:sz w:val="24"/>
          <w:szCs w:val="24"/>
        </w:rPr>
      </w:pPr>
      <w:r>
        <w:rPr>
          <w:rFonts w:ascii="Times New Roman" w:hAnsi="Times New Roman" w:cs="Times New Roman"/>
          <w:sz w:val="24"/>
          <w:szCs w:val="24"/>
        </w:rPr>
        <w:t>The f</w:t>
      </w:r>
      <w:r w:rsidR="00967209" w:rsidRPr="00ED6F97">
        <w:rPr>
          <w:rFonts w:ascii="Times New Roman" w:hAnsi="Times New Roman" w:cs="Times New Roman"/>
          <w:sz w:val="24"/>
          <w:szCs w:val="24"/>
        </w:rPr>
        <w:t xml:space="preserve">ramework for closure </w:t>
      </w:r>
      <w:r>
        <w:rPr>
          <w:rFonts w:ascii="Times New Roman" w:hAnsi="Times New Roman" w:cs="Times New Roman"/>
          <w:sz w:val="24"/>
          <w:szCs w:val="24"/>
        </w:rPr>
        <w:t>of CJTS is informed by national best practices and consultation the Department of Children and Families has received from national juvenile justice experts.  These include:</w:t>
      </w:r>
    </w:p>
    <w:p w:rsidR="00967209" w:rsidRDefault="001149F6" w:rsidP="00D01CE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D01CEF" w:rsidRPr="00D01CEF">
        <w:rPr>
          <w:rFonts w:ascii="Times New Roman" w:hAnsi="Times New Roman" w:cs="Times New Roman"/>
          <w:sz w:val="24"/>
          <w:szCs w:val="24"/>
        </w:rPr>
        <w:t>Annie E. Casey Foundation’</w:t>
      </w:r>
      <w:r>
        <w:rPr>
          <w:rFonts w:ascii="Times New Roman" w:hAnsi="Times New Roman" w:cs="Times New Roman"/>
          <w:sz w:val="24"/>
          <w:szCs w:val="24"/>
        </w:rPr>
        <w:t>s framework for reducing juvenile incarceration</w:t>
      </w:r>
      <w:r>
        <w:rPr>
          <w:rStyle w:val="EndnoteReference"/>
          <w:rFonts w:ascii="Times New Roman" w:hAnsi="Times New Roman" w:cs="Times New Roman"/>
          <w:sz w:val="24"/>
          <w:szCs w:val="24"/>
        </w:rPr>
        <w:endnoteReference w:id="1"/>
      </w:r>
      <w:r>
        <w:rPr>
          <w:rFonts w:ascii="Times New Roman" w:hAnsi="Times New Roman" w:cs="Times New Roman"/>
          <w:sz w:val="24"/>
          <w:szCs w:val="24"/>
        </w:rPr>
        <w:t>;</w:t>
      </w:r>
    </w:p>
    <w:p w:rsidR="001149F6" w:rsidRDefault="001149F6" w:rsidP="00D01CE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an assessment of DCF’s juvenile justice work conducted by the Georgetown University Center for Juvenile Justice Reform</w:t>
      </w:r>
      <w:r>
        <w:rPr>
          <w:rStyle w:val="EndnoteReference"/>
          <w:rFonts w:ascii="Times New Roman" w:hAnsi="Times New Roman" w:cs="Times New Roman"/>
          <w:sz w:val="24"/>
          <w:szCs w:val="24"/>
        </w:rPr>
        <w:endnoteReference w:id="2"/>
      </w:r>
      <w:r>
        <w:rPr>
          <w:rFonts w:ascii="Times New Roman" w:hAnsi="Times New Roman" w:cs="Times New Roman"/>
          <w:sz w:val="24"/>
          <w:szCs w:val="24"/>
        </w:rPr>
        <w:t>;</w:t>
      </w:r>
    </w:p>
    <w:p w:rsidR="001149F6" w:rsidRDefault="001149F6" w:rsidP="00D01CE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 review of the Connecticut Juvenile Justice School conducted by Dr. Robert Kinscher</w:t>
      </w:r>
      <w:r w:rsidR="008E0A0D">
        <w:rPr>
          <w:rFonts w:ascii="Times New Roman" w:hAnsi="Times New Roman" w:cs="Times New Roman"/>
          <w:sz w:val="24"/>
          <w:szCs w:val="24"/>
        </w:rPr>
        <w:t>f</w:t>
      </w:r>
      <w:r>
        <w:rPr>
          <w:rFonts w:ascii="Times New Roman" w:hAnsi="Times New Roman" w:cs="Times New Roman"/>
          <w:sz w:val="24"/>
          <w:szCs w:val="24"/>
        </w:rPr>
        <w:t>f</w:t>
      </w:r>
      <w:r>
        <w:rPr>
          <w:rStyle w:val="EndnoteReference"/>
          <w:rFonts w:ascii="Times New Roman" w:hAnsi="Times New Roman" w:cs="Times New Roman"/>
          <w:sz w:val="24"/>
          <w:szCs w:val="24"/>
        </w:rPr>
        <w:endnoteReference w:id="3"/>
      </w:r>
      <w:r>
        <w:rPr>
          <w:rFonts w:ascii="Times New Roman" w:hAnsi="Times New Roman" w:cs="Times New Roman"/>
          <w:sz w:val="24"/>
          <w:szCs w:val="24"/>
        </w:rPr>
        <w:t>;</w:t>
      </w:r>
    </w:p>
    <w:p w:rsidR="001149F6" w:rsidRDefault="001149F6" w:rsidP="00D01CE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most recent American Correctional Association accreditation report </w:t>
      </w:r>
      <w:r w:rsidR="008C4FF6">
        <w:rPr>
          <w:rFonts w:ascii="Times New Roman" w:hAnsi="Times New Roman" w:cs="Times New Roman"/>
          <w:sz w:val="24"/>
          <w:szCs w:val="24"/>
        </w:rPr>
        <w:t>for CJTS.</w:t>
      </w:r>
    </w:p>
    <w:p w:rsidR="008C4FF6" w:rsidRDefault="008C4FF6" w:rsidP="008C4FF6">
      <w:pPr>
        <w:spacing w:after="0"/>
        <w:rPr>
          <w:rFonts w:ascii="Times New Roman" w:hAnsi="Times New Roman" w:cs="Times New Roman"/>
          <w:sz w:val="24"/>
          <w:szCs w:val="24"/>
        </w:rPr>
      </w:pPr>
    </w:p>
    <w:p w:rsidR="008C4FF6" w:rsidRDefault="008C4FF6" w:rsidP="008C4FF6">
      <w:pPr>
        <w:spacing w:after="0"/>
        <w:rPr>
          <w:rFonts w:ascii="Times New Roman" w:hAnsi="Times New Roman" w:cs="Times New Roman"/>
          <w:sz w:val="24"/>
          <w:szCs w:val="24"/>
        </w:rPr>
      </w:pPr>
      <w:r>
        <w:rPr>
          <w:rFonts w:ascii="Times New Roman" w:hAnsi="Times New Roman" w:cs="Times New Roman"/>
          <w:sz w:val="24"/>
          <w:szCs w:val="24"/>
        </w:rPr>
        <w:t>In addition to input from national experts, DCF also conducted over 20 focus groups and community</w:t>
      </w:r>
      <w:r w:rsidR="00DB00DF">
        <w:rPr>
          <w:rFonts w:ascii="Times New Roman" w:hAnsi="Times New Roman" w:cs="Times New Roman"/>
          <w:sz w:val="24"/>
          <w:szCs w:val="24"/>
        </w:rPr>
        <w:t xml:space="preserve"> meetings with nearly 300 </w:t>
      </w:r>
      <w:r>
        <w:rPr>
          <w:rFonts w:ascii="Times New Roman" w:hAnsi="Times New Roman" w:cs="Times New Roman"/>
          <w:sz w:val="24"/>
          <w:szCs w:val="24"/>
        </w:rPr>
        <w:t>stakeholders</w:t>
      </w:r>
      <w:r w:rsidR="00DB00DF">
        <w:rPr>
          <w:rFonts w:ascii="Times New Roman" w:hAnsi="Times New Roman" w:cs="Times New Roman"/>
          <w:sz w:val="24"/>
          <w:szCs w:val="24"/>
        </w:rPr>
        <w:t xml:space="preserve"> across Connecticut</w:t>
      </w:r>
      <w:r>
        <w:rPr>
          <w:rFonts w:ascii="Times New Roman" w:hAnsi="Times New Roman" w:cs="Times New Roman"/>
          <w:sz w:val="24"/>
          <w:szCs w:val="24"/>
        </w:rPr>
        <w:t>.  These included:</w:t>
      </w:r>
    </w:p>
    <w:p w:rsidR="008C4FF6" w:rsidRDefault="008C4FF6" w:rsidP="008C4FF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Juvenile Justice Policy and Oversight Committee;</w:t>
      </w:r>
    </w:p>
    <w:p w:rsidR="00C217F9" w:rsidRDefault="00C217F9" w:rsidP="008C4FF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youth served by the juvenile justice system;</w:t>
      </w:r>
    </w:p>
    <w:p w:rsidR="008C4FF6" w:rsidRPr="00C217F9" w:rsidRDefault="008C4FF6" w:rsidP="00C217F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CJTS and regional juvenile justice staff;</w:t>
      </w:r>
    </w:p>
    <w:p w:rsidR="00036F57" w:rsidRDefault="00036F57" w:rsidP="00036F5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Local Interagency Service Teams;</w:t>
      </w:r>
    </w:p>
    <w:p w:rsidR="008C4FF6" w:rsidRPr="008C4FF6" w:rsidRDefault="008C4FF6" w:rsidP="008C4FF6">
      <w:pPr>
        <w:pStyle w:val="ListParagraph"/>
        <w:numPr>
          <w:ilvl w:val="0"/>
          <w:numId w:val="8"/>
        </w:numPr>
        <w:spacing w:after="0"/>
        <w:rPr>
          <w:rFonts w:ascii="Times New Roman" w:hAnsi="Times New Roman" w:cs="Times New Roman"/>
          <w:sz w:val="24"/>
          <w:szCs w:val="24"/>
        </w:rPr>
      </w:pPr>
      <w:r w:rsidRPr="008C4FF6">
        <w:rPr>
          <w:rFonts w:ascii="Times New Roman" w:hAnsi="Times New Roman" w:cs="Times New Roman"/>
          <w:sz w:val="24"/>
          <w:szCs w:val="24"/>
        </w:rPr>
        <w:t>the DCF State Advisory Council;</w:t>
      </w:r>
    </w:p>
    <w:p w:rsidR="008C4FF6" w:rsidRDefault="008C4FF6" w:rsidP="008C4FF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several DCF Regional Advisory Councils;</w:t>
      </w:r>
    </w:p>
    <w:p w:rsidR="00DB00DF" w:rsidRDefault="00DB00DF" w:rsidP="008C4FF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Connecticut Juvenile Justice Alliance Steering Committee;</w:t>
      </w:r>
    </w:p>
    <w:p w:rsidR="008C4FF6" w:rsidRDefault="008C4FF6" w:rsidP="008C4FF6">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Children’s Behavioral Health Advisory Council</w:t>
      </w:r>
      <w:r w:rsidR="00036F57">
        <w:rPr>
          <w:rFonts w:ascii="Times New Roman" w:hAnsi="Times New Roman" w:cs="Times New Roman"/>
          <w:sz w:val="24"/>
          <w:szCs w:val="24"/>
        </w:rPr>
        <w:t>.</w:t>
      </w:r>
    </w:p>
    <w:p w:rsidR="00036F57" w:rsidRDefault="00036F57" w:rsidP="00036F57">
      <w:pPr>
        <w:spacing w:after="0"/>
        <w:rPr>
          <w:rFonts w:ascii="Times New Roman" w:hAnsi="Times New Roman" w:cs="Times New Roman"/>
          <w:sz w:val="24"/>
          <w:szCs w:val="24"/>
        </w:rPr>
      </w:pPr>
    </w:p>
    <w:p w:rsidR="00036F57" w:rsidRDefault="00036F57" w:rsidP="00036F57">
      <w:pPr>
        <w:spacing w:after="0"/>
        <w:rPr>
          <w:rFonts w:ascii="Times New Roman" w:hAnsi="Times New Roman" w:cs="Times New Roman"/>
          <w:sz w:val="24"/>
          <w:szCs w:val="24"/>
        </w:rPr>
      </w:pPr>
      <w:r>
        <w:rPr>
          <w:rFonts w:ascii="Times New Roman" w:hAnsi="Times New Roman" w:cs="Times New Roman"/>
          <w:sz w:val="24"/>
          <w:szCs w:val="24"/>
        </w:rPr>
        <w:t>These community meetings revealed a consensus ac</w:t>
      </w:r>
      <w:r w:rsidR="0026609A">
        <w:rPr>
          <w:rFonts w:ascii="Times New Roman" w:hAnsi="Times New Roman" w:cs="Times New Roman"/>
          <w:sz w:val="24"/>
          <w:szCs w:val="24"/>
        </w:rPr>
        <w:t xml:space="preserve">ross Connecticut about the </w:t>
      </w:r>
      <w:r>
        <w:rPr>
          <w:rFonts w:ascii="Times New Roman" w:hAnsi="Times New Roman" w:cs="Times New Roman"/>
          <w:sz w:val="24"/>
          <w:szCs w:val="24"/>
        </w:rPr>
        <w:t xml:space="preserve">pressing needs of the youth in the juvenile justice system and </w:t>
      </w:r>
      <w:r w:rsidR="00C217F9">
        <w:rPr>
          <w:rFonts w:ascii="Times New Roman" w:hAnsi="Times New Roman" w:cs="Times New Roman"/>
          <w:sz w:val="24"/>
          <w:szCs w:val="24"/>
        </w:rPr>
        <w:t>potential strategies</w:t>
      </w:r>
      <w:r>
        <w:rPr>
          <w:rFonts w:ascii="Times New Roman" w:hAnsi="Times New Roman" w:cs="Times New Roman"/>
          <w:sz w:val="24"/>
          <w:szCs w:val="24"/>
        </w:rPr>
        <w:t xml:space="preserve"> to ensure more youth are served in the community and not in secure confinement.  These include</w:t>
      </w:r>
      <w:r w:rsidR="008A13EE">
        <w:rPr>
          <w:rFonts w:ascii="Times New Roman" w:hAnsi="Times New Roman" w:cs="Times New Roman"/>
          <w:sz w:val="24"/>
          <w:szCs w:val="24"/>
        </w:rPr>
        <w:t xml:space="preserve"> preserving services in the following areas</w:t>
      </w:r>
      <w:r>
        <w:rPr>
          <w:rFonts w:ascii="Times New Roman" w:hAnsi="Times New Roman" w:cs="Times New Roman"/>
          <w:sz w:val="24"/>
          <w:szCs w:val="24"/>
        </w:rPr>
        <w:t>:</w:t>
      </w:r>
    </w:p>
    <w:p w:rsidR="00036F57" w:rsidRDefault="00032545"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job readiness and vocational training;</w:t>
      </w:r>
    </w:p>
    <w:p w:rsidR="00032545" w:rsidRDefault="00032545"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substance abuse treatment and recovery supports;</w:t>
      </w:r>
    </w:p>
    <w:p w:rsidR="00C217F9" w:rsidRDefault="00C217F9"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educational programs, including credit recovery services;</w:t>
      </w:r>
    </w:p>
    <w:p w:rsidR="00032545" w:rsidRDefault="00032545"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transitional housing;</w:t>
      </w:r>
    </w:p>
    <w:p w:rsidR="002E44DC" w:rsidRDefault="002E44DC"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transportation to facilitate family treatment and access to services;</w:t>
      </w:r>
    </w:p>
    <w:p w:rsidR="00032545" w:rsidRDefault="00032545"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individualized plans for youth with complex needs;</w:t>
      </w:r>
    </w:p>
    <w:p w:rsidR="00032545" w:rsidRDefault="00032545" w:rsidP="00036F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programs with longer length of service to address chronic needs;</w:t>
      </w:r>
    </w:p>
    <w:p w:rsidR="002E44DC" w:rsidRPr="00CF5DF7" w:rsidRDefault="002E44DC" w:rsidP="00CF5DF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better integration of treatment planning and service delivery processes of the secure facility, regional DCF juvenile justice socia</w:t>
      </w:r>
      <w:r w:rsidR="00CF5DF7">
        <w:rPr>
          <w:rFonts w:ascii="Times New Roman" w:hAnsi="Times New Roman" w:cs="Times New Roman"/>
          <w:sz w:val="24"/>
          <w:szCs w:val="24"/>
        </w:rPr>
        <w:t>l workers and service providers.</w:t>
      </w:r>
    </w:p>
    <w:p w:rsidR="00DB00DF" w:rsidRDefault="00DB00DF" w:rsidP="00C71731">
      <w:pPr>
        <w:spacing w:after="0"/>
        <w:rPr>
          <w:rFonts w:ascii="Times New Roman" w:hAnsi="Times New Roman" w:cs="Times New Roman"/>
          <w:sz w:val="24"/>
          <w:szCs w:val="24"/>
        </w:rPr>
      </w:pPr>
    </w:p>
    <w:p w:rsidR="004076BE" w:rsidRDefault="00CF5DF7" w:rsidP="00C71731">
      <w:pPr>
        <w:spacing w:after="0"/>
        <w:rPr>
          <w:rFonts w:ascii="Times New Roman" w:hAnsi="Times New Roman" w:cs="Times New Roman"/>
          <w:sz w:val="24"/>
          <w:szCs w:val="24"/>
        </w:rPr>
      </w:pPr>
      <w:r>
        <w:rPr>
          <w:rFonts w:ascii="Times New Roman" w:hAnsi="Times New Roman" w:cs="Times New Roman"/>
          <w:sz w:val="24"/>
          <w:szCs w:val="24"/>
        </w:rPr>
        <w:t>Finally, in June 2016 t</w:t>
      </w:r>
      <w:r w:rsidR="004076BE">
        <w:rPr>
          <w:rFonts w:ascii="Times New Roman" w:hAnsi="Times New Roman" w:cs="Times New Roman"/>
          <w:sz w:val="24"/>
          <w:szCs w:val="24"/>
        </w:rPr>
        <w:t>he Annie E. Casey Foundation’s Juvenile Justice Strategy Group released t</w:t>
      </w:r>
      <w:r w:rsidR="0026609A">
        <w:rPr>
          <w:rFonts w:ascii="Times New Roman" w:hAnsi="Times New Roman" w:cs="Times New Roman"/>
          <w:sz w:val="24"/>
          <w:szCs w:val="24"/>
        </w:rPr>
        <w:t>he results of a survey it c</w:t>
      </w:r>
      <w:r w:rsidR="004076BE">
        <w:rPr>
          <w:rFonts w:ascii="Times New Roman" w:hAnsi="Times New Roman" w:cs="Times New Roman"/>
          <w:sz w:val="24"/>
          <w:szCs w:val="24"/>
        </w:rPr>
        <w:t>onducted with juvenile justice administrators and advocates in jurisdictions across the Unites States.  The survey results provide a framework of principles for residential care for youth in secure placement.</w:t>
      </w:r>
      <w:r w:rsidR="004076BE">
        <w:rPr>
          <w:rStyle w:val="EndnoteReference"/>
          <w:rFonts w:ascii="Times New Roman" w:hAnsi="Times New Roman" w:cs="Times New Roman"/>
          <w:sz w:val="24"/>
          <w:szCs w:val="24"/>
        </w:rPr>
        <w:endnoteReference w:id="4"/>
      </w:r>
      <w:r w:rsidR="004076BE">
        <w:rPr>
          <w:rFonts w:ascii="Times New Roman" w:hAnsi="Times New Roman" w:cs="Times New Roman"/>
          <w:sz w:val="24"/>
          <w:szCs w:val="24"/>
        </w:rPr>
        <w:t xml:space="preserve">  These principles represent the consensus of </w:t>
      </w:r>
      <w:r w:rsidR="004076BE">
        <w:rPr>
          <w:rFonts w:ascii="Times New Roman" w:hAnsi="Times New Roman" w:cs="Times New Roman"/>
          <w:sz w:val="24"/>
          <w:szCs w:val="24"/>
        </w:rPr>
        <w:lastRenderedPageBreak/>
        <w:t>juvenile justice experts on a national level of best practices for the operation of secure facilities.  They include:</w:t>
      </w:r>
    </w:p>
    <w:p w:rsidR="004076BE" w:rsidRDefault="004076BE" w:rsidP="00C7173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D01CEF" w:rsidRPr="00D01CEF" w:rsidTr="00D01CEF">
        <w:tc>
          <w:tcPr>
            <w:tcW w:w="3116" w:type="dxa"/>
            <w:shd w:val="clear" w:color="auto" w:fill="BFBFBF" w:themeFill="background1" w:themeFillShade="BF"/>
          </w:tcPr>
          <w:p w:rsidR="00D01CEF" w:rsidRPr="00D01CEF" w:rsidRDefault="00D01CEF" w:rsidP="00D01CEF">
            <w:pPr>
              <w:jc w:val="center"/>
              <w:rPr>
                <w:rFonts w:ascii="Times New Roman" w:hAnsi="Times New Roman" w:cs="Times New Roman"/>
                <w:b/>
                <w:sz w:val="24"/>
                <w:szCs w:val="24"/>
              </w:rPr>
            </w:pPr>
            <w:r>
              <w:rPr>
                <w:rFonts w:ascii="Times New Roman" w:hAnsi="Times New Roman" w:cs="Times New Roman"/>
                <w:b/>
                <w:sz w:val="24"/>
                <w:szCs w:val="24"/>
              </w:rPr>
              <w:t>Facility</w:t>
            </w:r>
          </w:p>
        </w:tc>
        <w:tc>
          <w:tcPr>
            <w:tcW w:w="3117" w:type="dxa"/>
            <w:shd w:val="clear" w:color="auto" w:fill="BFBFBF" w:themeFill="background1" w:themeFillShade="BF"/>
          </w:tcPr>
          <w:p w:rsidR="00D01CEF" w:rsidRPr="00D01CEF" w:rsidRDefault="00D01CEF" w:rsidP="00D01CEF">
            <w:pPr>
              <w:jc w:val="center"/>
              <w:rPr>
                <w:rFonts w:ascii="Times New Roman" w:hAnsi="Times New Roman" w:cs="Times New Roman"/>
                <w:b/>
                <w:sz w:val="24"/>
                <w:szCs w:val="24"/>
              </w:rPr>
            </w:pPr>
            <w:r>
              <w:rPr>
                <w:rFonts w:ascii="Times New Roman" w:hAnsi="Times New Roman" w:cs="Times New Roman"/>
                <w:b/>
                <w:sz w:val="24"/>
                <w:szCs w:val="24"/>
              </w:rPr>
              <w:t>Unit</w:t>
            </w:r>
          </w:p>
        </w:tc>
        <w:tc>
          <w:tcPr>
            <w:tcW w:w="3117" w:type="dxa"/>
            <w:shd w:val="clear" w:color="auto" w:fill="BFBFBF" w:themeFill="background1" w:themeFillShade="BF"/>
          </w:tcPr>
          <w:p w:rsidR="00D01CEF" w:rsidRPr="00D01CEF" w:rsidRDefault="00D01CEF" w:rsidP="00D01CEF">
            <w:pPr>
              <w:jc w:val="center"/>
              <w:rPr>
                <w:rFonts w:ascii="Times New Roman" w:hAnsi="Times New Roman" w:cs="Times New Roman"/>
                <w:b/>
                <w:sz w:val="24"/>
                <w:szCs w:val="24"/>
              </w:rPr>
            </w:pPr>
            <w:r>
              <w:rPr>
                <w:rFonts w:ascii="Times New Roman" w:hAnsi="Times New Roman" w:cs="Times New Roman"/>
                <w:b/>
                <w:sz w:val="24"/>
                <w:szCs w:val="24"/>
              </w:rPr>
              <w:t>Access/Family</w:t>
            </w:r>
          </w:p>
        </w:tc>
      </w:tr>
      <w:tr w:rsidR="00D01CEF" w:rsidTr="00D01CEF">
        <w:tc>
          <w:tcPr>
            <w:tcW w:w="3116" w:type="dxa"/>
          </w:tcPr>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50 beds or less</w:t>
            </w:r>
          </w:p>
          <w:p w:rsidR="00D01CEF" w:rsidRP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50 miles from home or less</w:t>
            </w:r>
          </w:p>
        </w:tc>
        <w:tc>
          <w:tcPr>
            <w:tcW w:w="3117" w:type="dxa"/>
          </w:tcPr>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10 kids or less</w:t>
            </w:r>
          </w:p>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1:10 staff/youth ratio or less</w:t>
            </w:r>
          </w:p>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 locks on bedrooms</w:t>
            </w:r>
          </w:p>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 toilets in bedrooms</w:t>
            </w:r>
          </w:p>
          <w:p w:rsidR="00D01CEF" w:rsidRP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staff = program staff</w:t>
            </w:r>
          </w:p>
        </w:tc>
        <w:tc>
          <w:tcPr>
            <w:tcW w:w="3117" w:type="dxa"/>
          </w:tcPr>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Visitation 365 days/year</w:t>
            </w:r>
          </w:p>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Transportation 1 time per week</w:t>
            </w:r>
          </w:p>
          <w:p w:rsidR="00D01CEF" w:rsidRDefault="00D01CEF" w:rsidP="00D01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Accessible via public transportation</w:t>
            </w:r>
          </w:p>
          <w:p w:rsidR="00D01CEF" w:rsidRPr="00D01CEF" w:rsidRDefault="00D01CEF" w:rsidP="00D01CEF">
            <w:pPr>
              <w:pStyle w:val="ListParagraph"/>
              <w:rPr>
                <w:rFonts w:ascii="Times New Roman" w:hAnsi="Times New Roman" w:cs="Times New Roman"/>
                <w:sz w:val="24"/>
                <w:szCs w:val="24"/>
              </w:rPr>
            </w:pPr>
          </w:p>
        </w:tc>
      </w:tr>
    </w:tbl>
    <w:p w:rsidR="004076BE" w:rsidRDefault="004076BE" w:rsidP="00C71731">
      <w:pPr>
        <w:spacing w:after="0"/>
        <w:rPr>
          <w:rFonts w:ascii="Times New Roman" w:hAnsi="Times New Roman" w:cs="Times New Roman"/>
          <w:sz w:val="24"/>
          <w:szCs w:val="24"/>
        </w:rPr>
      </w:pPr>
    </w:p>
    <w:p w:rsidR="00176A68" w:rsidRDefault="00176A68" w:rsidP="00C71731">
      <w:pPr>
        <w:spacing w:after="0"/>
        <w:rPr>
          <w:rFonts w:ascii="Times New Roman" w:hAnsi="Times New Roman" w:cs="Times New Roman"/>
          <w:sz w:val="24"/>
          <w:szCs w:val="24"/>
        </w:rPr>
      </w:pPr>
    </w:p>
    <w:tbl>
      <w:tblPr>
        <w:tblStyle w:val="TableGrid"/>
        <w:tblW w:w="6480" w:type="dxa"/>
        <w:tblInd w:w="1435" w:type="dxa"/>
        <w:tblLook w:val="04A0" w:firstRow="1" w:lastRow="0" w:firstColumn="1" w:lastColumn="0" w:noHBand="0" w:noVBand="1"/>
      </w:tblPr>
      <w:tblGrid>
        <w:gridCol w:w="3240"/>
        <w:gridCol w:w="3240"/>
      </w:tblGrid>
      <w:tr w:rsidR="00D01CEF" w:rsidRPr="00D01CEF" w:rsidTr="00D01CEF">
        <w:tc>
          <w:tcPr>
            <w:tcW w:w="3240" w:type="dxa"/>
            <w:shd w:val="clear" w:color="auto" w:fill="BFBFBF" w:themeFill="background1" w:themeFillShade="BF"/>
          </w:tcPr>
          <w:p w:rsidR="00D01CEF" w:rsidRPr="00D01CEF" w:rsidRDefault="00D01CEF" w:rsidP="00D01CEF">
            <w:pPr>
              <w:jc w:val="center"/>
              <w:rPr>
                <w:rFonts w:ascii="Times New Roman" w:hAnsi="Times New Roman" w:cs="Times New Roman"/>
                <w:b/>
                <w:sz w:val="24"/>
                <w:szCs w:val="24"/>
              </w:rPr>
            </w:pPr>
            <w:r>
              <w:rPr>
                <w:rFonts w:ascii="Times New Roman" w:hAnsi="Times New Roman" w:cs="Times New Roman"/>
                <w:b/>
                <w:sz w:val="24"/>
                <w:szCs w:val="24"/>
              </w:rPr>
              <w:t>Environment</w:t>
            </w:r>
          </w:p>
        </w:tc>
        <w:tc>
          <w:tcPr>
            <w:tcW w:w="3240" w:type="dxa"/>
            <w:shd w:val="clear" w:color="auto" w:fill="BFBFBF" w:themeFill="background1" w:themeFillShade="BF"/>
          </w:tcPr>
          <w:p w:rsidR="00D01CEF" w:rsidRPr="00D01CEF" w:rsidRDefault="00D01CEF" w:rsidP="00D01CEF">
            <w:pPr>
              <w:jc w:val="center"/>
              <w:rPr>
                <w:rFonts w:ascii="Times New Roman" w:hAnsi="Times New Roman" w:cs="Times New Roman"/>
                <w:b/>
                <w:sz w:val="24"/>
                <w:szCs w:val="24"/>
              </w:rPr>
            </w:pPr>
            <w:r>
              <w:rPr>
                <w:rFonts w:ascii="Times New Roman" w:hAnsi="Times New Roman" w:cs="Times New Roman"/>
                <w:b/>
                <w:sz w:val="24"/>
                <w:szCs w:val="24"/>
              </w:rPr>
              <w:t>Education</w:t>
            </w:r>
          </w:p>
        </w:tc>
      </w:tr>
      <w:tr w:rsidR="00D01CEF" w:rsidTr="00D01CEF">
        <w:tc>
          <w:tcPr>
            <w:tcW w:w="3240" w:type="dxa"/>
          </w:tcPr>
          <w:p w:rsidR="00D01CEF" w:rsidRDefault="00D01CEF" w:rsidP="00D01C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Youth wear own clothes</w:t>
            </w:r>
          </w:p>
          <w:p w:rsidR="00D01CEF" w:rsidRDefault="00D01CEF" w:rsidP="00D01C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Family style meals</w:t>
            </w:r>
          </w:p>
          <w:p w:rsidR="00032545" w:rsidRPr="00D01CEF" w:rsidRDefault="00032545" w:rsidP="00D01CE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Youth/staff help prepare meals together</w:t>
            </w:r>
          </w:p>
        </w:tc>
        <w:tc>
          <w:tcPr>
            <w:tcW w:w="3240" w:type="dxa"/>
          </w:tcPr>
          <w:p w:rsidR="00D01CEF" w:rsidRDefault="00032545" w:rsidP="000325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Licensed teachers</w:t>
            </w:r>
          </w:p>
          <w:p w:rsidR="00032545" w:rsidRDefault="00032545" w:rsidP="000325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Unit staff assist in class</w:t>
            </w:r>
          </w:p>
          <w:p w:rsidR="00032545" w:rsidRDefault="00032545" w:rsidP="000325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Vocation programming</w:t>
            </w:r>
          </w:p>
          <w:p w:rsidR="00032545" w:rsidRDefault="00032545" w:rsidP="000325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College classes</w:t>
            </w:r>
          </w:p>
          <w:p w:rsidR="00032545" w:rsidRPr="00032545" w:rsidRDefault="00032545" w:rsidP="0003254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Credit recovery / GED prep</w:t>
            </w:r>
          </w:p>
        </w:tc>
      </w:tr>
    </w:tbl>
    <w:p w:rsidR="00D01CEF" w:rsidRPr="00ED6F97" w:rsidRDefault="00D01CEF" w:rsidP="00C71731">
      <w:pPr>
        <w:spacing w:after="0"/>
        <w:rPr>
          <w:rFonts w:ascii="Times New Roman" w:hAnsi="Times New Roman" w:cs="Times New Roman"/>
          <w:sz w:val="24"/>
          <w:szCs w:val="24"/>
        </w:rPr>
      </w:pPr>
    </w:p>
    <w:p w:rsidR="006B609B" w:rsidRDefault="00804BDA" w:rsidP="00C71731">
      <w:pPr>
        <w:spacing w:after="0"/>
        <w:rPr>
          <w:rFonts w:ascii="Times New Roman" w:hAnsi="Times New Roman" w:cs="Times New Roman"/>
          <w:sz w:val="24"/>
          <w:szCs w:val="24"/>
        </w:rPr>
      </w:pPr>
      <w:r>
        <w:rPr>
          <w:rFonts w:ascii="Times New Roman" w:hAnsi="Times New Roman" w:cs="Times New Roman"/>
          <w:sz w:val="24"/>
          <w:szCs w:val="24"/>
        </w:rPr>
        <w:t xml:space="preserve">Many of these principles </w:t>
      </w:r>
      <w:r w:rsidR="0098477D">
        <w:rPr>
          <w:rFonts w:ascii="Times New Roman" w:hAnsi="Times New Roman" w:cs="Times New Roman"/>
          <w:sz w:val="24"/>
          <w:szCs w:val="24"/>
        </w:rPr>
        <w:t xml:space="preserve">have been and/or </w:t>
      </w:r>
      <w:r>
        <w:rPr>
          <w:rFonts w:ascii="Times New Roman" w:hAnsi="Times New Roman" w:cs="Times New Roman"/>
          <w:sz w:val="24"/>
          <w:szCs w:val="24"/>
        </w:rPr>
        <w:t xml:space="preserve">will be incorporated into the program at CJTS and any future facility </w:t>
      </w:r>
      <w:r w:rsidR="00945424">
        <w:rPr>
          <w:rFonts w:ascii="Times New Roman" w:hAnsi="Times New Roman" w:cs="Times New Roman"/>
          <w:sz w:val="24"/>
          <w:szCs w:val="24"/>
        </w:rPr>
        <w:t>that replaces CJTS.  Some items, like not having locks on the bedroom doors, will be evaluated based on the security level at any future facilities and the individual needs of the youth.</w:t>
      </w:r>
    </w:p>
    <w:p w:rsidR="00804BDA" w:rsidRDefault="00804BDA" w:rsidP="00C71731">
      <w:pPr>
        <w:spacing w:after="0"/>
        <w:rPr>
          <w:rFonts w:ascii="Times New Roman" w:hAnsi="Times New Roman" w:cs="Times New Roman"/>
          <w:sz w:val="24"/>
          <w:szCs w:val="24"/>
        </w:rPr>
      </w:pPr>
    </w:p>
    <w:p w:rsidR="00BF66D6" w:rsidRDefault="008479EE" w:rsidP="00C71731">
      <w:pPr>
        <w:spacing w:after="0"/>
        <w:rPr>
          <w:rFonts w:ascii="Times New Roman" w:hAnsi="Times New Roman" w:cs="Times New Roman"/>
          <w:sz w:val="24"/>
          <w:szCs w:val="24"/>
        </w:rPr>
      </w:pPr>
      <w:r>
        <w:rPr>
          <w:rFonts w:ascii="Times New Roman" w:hAnsi="Times New Roman" w:cs="Times New Roman"/>
          <w:sz w:val="24"/>
          <w:szCs w:val="24"/>
        </w:rPr>
        <w:t xml:space="preserve">Based on this scan of national best practices and input from local stakeholders, </w:t>
      </w:r>
      <w:r w:rsidR="00534E22">
        <w:rPr>
          <w:rFonts w:ascii="Times New Roman" w:hAnsi="Times New Roman" w:cs="Times New Roman"/>
          <w:sz w:val="24"/>
          <w:szCs w:val="24"/>
        </w:rPr>
        <w:t>the strategies for the plan to close CJTS include goals for improving services for youth in the community and goals for improving the experience of youth in secure confinement</w:t>
      </w:r>
      <w:r w:rsidR="00C218BF">
        <w:rPr>
          <w:rFonts w:ascii="Times New Roman" w:hAnsi="Times New Roman" w:cs="Times New Roman"/>
          <w:sz w:val="24"/>
          <w:szCs w:val="24"/>
        </w:rPr>
        <w:t>:</w:t>
      </w:r>
    </w:p>
    <w:p w:rsidR="00BF66D6" w:rsidRDefault="00BF66D6"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DB00DF" w:rsidRDefault="00DB00DF" w:rsidP="00C71731">
      <w:pPr>
        <w:spacing w:after="0"/>
        <w:rPr>
          <w:rFonts w:ascii="Times New Roman" w:hAnsi="Times New Roman" w:cs="Times New Roman"/>
          <w:sz w:val="24"/>
          <w:szCs w:val="24"/>
        </w:rPr>
      </w:pPr>
    </w:p>
    <w:p w:rsidR="006036A9" w:rsidRDefault="006036A9" w:rsidP="00C71731">
      <w:pPr>
        <w:spacing w:after="0"/>
        <w:rPr>
          <w:rFonts w:ascii="Times New Roman" w:hAnsi="Times New Roman" w:cs="Times New Roman"/>
          <w:sz w:val="24"/>
          <w:szCs w:val="24"/>
        </w:rPr>
      </w:pPr>
    </w:p>
    <w:p w:rsidR="006036A9" w:rsidRDefault="006036A9" w:rsidP="00C71731">
      <w:pPr>
        <w:spacing w:after="0"/>
        <w:rPr>
          <w:rFonts w:ascii="Times New Roman" w:hAnsi="Times New Roman" w:cs="Times New Roman"/>
          <w:sz w:val="24"/>
          <w:szCs w:val="24"/>
        </w:rPr>
      </w:pPr>
    </w:p>
    <w:p w:rsidR="006036A9" w:rsidRDefault="006036A9" w:rsidP="00C71731">
      <w:pPr>
        <w:spacing w:after="0"/>
        <w:rPr>
          <w:rFonts w:ascii="Times New Roman" w:hAnsi="Times New Roman" w:cs="Times New Roman"/>
          <w:sz w:val="24"/>
          <w:szCs w:val="24"/>
        </w:rPr>
      </w:pPr>
    </w:p>
    <w:p w:rsidR="006036A9" w:rsidRDefault="006036A9" w:rsidP="00C71731">
      <w:pPr>
        <w:spacing w:after="0"/>
        <w:rPr>
          <w:rFonts w:ascii="Times New Roman" w:hAnsi="Times New Roman" w:cs="Times New Roman"/>
          <w:sz w:val="24"/>
          <w:szCs w:val="24"/>
        </w:rPr>
      </w:pPr>
    </w:p>
    <w:p w:rsidR="00945424" w:rsidRDefault="00945424" w:rsidP="00C71731">
      <w:pPr>
        <w:spacing w:after="0"/>
        <w:rPr>
          <w:rFonts w:ascii="Times New Roman" w:hAnsi="Times New Roman" w:cs="Times New Roman"/>
          <w:sz w:val="24"/>
          <w:szCs w:val="24"/>
        </w:rPr>
      </w:pPr>
    </w:p>
    <w:p w:rsidR="00534E22" w:rsidRDefault="00945424" w:rsidP="00C71731">
      <w:pPr>
        <w:spacing w:after="0"/>
        <w:rPr>
          <w:rFonts w:ascii="Times New Roman" w:hAnsi="Times New Roman" w:cs="Times New Roman"/>
          <w:sz w:val="24"/>
          <w:szCs w:val="24"/>
          <w:u w:val="single"/>
        </w:rPr>
      </w:pPr>
      <w:r w:rsidRPr="00945424">
        <w:rPr>
          <w:rFonts w:ascii="Times New Roman" w:hAnsi="Times New Roman" w:cs="Times New Roman"/>
          <w:sz w:val="24"/>
          <w:szCs w:val="24"/>
          <w:u w:val="single"/>
        </w:rPr>
        <w:lastRenderedPageBreak/>
        <w:t>C</w:t>
      </w:r>
      <w:r w:rsidR="00534E22" w:rsidRPr="00534E22">
        <w:rPr>
          <w:rFonts w:ascii="Times New Roman" w:hAnsi="Times New Roman" w:cs="Times New Roman"/>
          <w:sz w:val="24"/>
          <w:szCs w:val="24"/>
          <w:u w:val="single"/>
        </w:rPr>
        <w:t>ommunity-based services goals</w:t>
      </w:r>
    </w:p>
    <w:p w:rsidR="00A23A8B" w:rsidRDefault="00A23A8B" w:rsidP="00C71731">
      <w:pPr>
        <w:spacing w:after="0"/>
        <w:rPr>
          <w:rFonts w:ascii="Times New Roman" w:hAnsi="Times New Roman" w:cs="Times New Roman"/>
          <w:sz w:val="24"/>
          <w:szCs w:val="24"/>
          <w:u w:val="single"/>
        </w:rPr>
      </w:pPr>
    </w:p>
    <w:p w:rsidR="00A23A8B" w:rsidRPr="00534E22" w:rsidRDefault="00A23A8B" w:rsidP="00C71731">
      <w:pPr>
        <w:spacing w:after="0"/>
        <w:rPr>
          <w:rFonts w:ascii="Times New Roman" w:hAnsi="Times New Roman" w:cs="Times New Roman"/>
          <w:sz w:val="24"/>
          <w:szCs w:val="24"/>
          <w:u w:val="single"/>
        </w:rPr>
      </w:pPr>
    </w:p>
    <w:tbl>
      <w:tblPr>
        <w:tblStyle w:val="TableGrid"/>
        <w:tblpPr w:leftFromText="180" w:rightFromText="180" w:vertAnchor="text" w:horzAnchor="margin" w:tblpYSpec="outside"/>
        <w:tblW w:w="9175" w:type="dxa"/>
        <w:tblLook w:val="04A0" w:firstRow="1" w:lastRow="0" w:firstColumn="1" w:lastColumn="0" w:noHBand="0" w:noVBand="1"/>
      </w:tblPr>
      <w:tblGrid>
        <w:gridCol w:w="4495"/>
        <w:gridCol w:w="2520"/>
        <w:gridCol w:w="2160"/>
      </w:tblGrid>
      <w:tr w:rsidR="00A23A8B" w:rsidTr="006D0972">
        <w:tc>
          <w:tcPr>
            <w:tcW w:w="9175" w:type="dxa"/>
            <w:gridSpan w:val="3"/>
            <w:shd w:val="clear" w:color="auto" w:fill="BFBFBF" w:themeFill="background1" w:themeFillShade="BF"/>
          </w:tcPr>
          <w:p w:rsidR="00A23A8B" w:rsidRPr="00613ABD" w:rsidRDefault="00A23A8B" w:rsidP="006D0972">
            <w:pPr>
              <w:rPr>
                <w:rFonts w:ascii="Times New Roman" w:hAnsi="Times New Roman" w:cs="Times New Roman"/>
                <w:b/>
                <w:sz w:val="24"/>
                <w:szCs w:val="24"/>
              </w:rPr>
            </w:pPr>
            <w:r w:rsidRPr="00613ABD">
              <w:rPr>
                <w:rFonts w:ascii="Times New Roman" w:hAnsi="Times New Roman" w:cs="Times New Roman"/>
                <w:b/>
                <w:sz w:val="24"/>
                <w:szCs w:val="24"/>
              </w:rPr>
              <w:t>GOAL</w:t>
            </w:r>
            <w:r>
              <w:rPr>
                <w:rFonts w:ascii="Times New Roman" w:hAnsi="Times New Roman" w:cs="Times New Roman"/>
                <w:b/>
                <w:sz w:val="24"/>
                <w:szCs w:val="24"/>
              </w:rPr>
              <w:t xml:space="preserve"> 1</w:t>
            </w:r>
            <w:r w:rsidRPr="00613ABD">
              <w:rPr>
                <w:rFonts w:ascii="Times New Roman" w:hAnsi="Times New Roman" w:cs="Times New Roman"/>
                <w:sz w:val="24"/>
                <w:szCs w:val="24"/>
              </w:rPr>
              <w:t xml:space="preserve">:  </w:t>
            </w:r>
            <w:r w:rsidR="00886AA9">
              <w:rPr>
                <w:rFonts w:ascii="Times New Roman" w:hAnsi="Times New Roman" w:cs="Times New Roman"/>
                <w:b/>
                <w:sz w:val="24"/>
                <w:szCs w:val="24"/>
              </w:rPr>
              <w:t xml:space="preserve">Redefine </w:t>
            </w:r>
            <w:r w:rsidRPr="00613ABD">
              <w:rPr>
                <w:rFonts w:ascii="Times New Roman" w:hAnsi="Times New Roman" w:cs="Times New Roman"/>
                <w:b/>
                <w:sz w:val="24"/>
                <w:szCs w:val="24"/>
              </w:rPr>
              <w:t>eligibility for secure placement</w:t>
            </w:r>
          </w:p>
          <w:p w:rsidR="00A23A8B" w:rsidRPr="00613ABD" w:rsidRDefault="00A23A8B" w:rsidP="006D0972">
            <w:pPr>
              <w:rPr>
                <w:rFonts w:ascii="Times New Roman" w:hAnsi="Times New Roman" w:cs="Times New Roman"/>
                <w:sz w:val="24"/>
                <w:szCs w:val="24"/>
              </w:rPr>
            </w:pPr>
          </w:p>
        </w:tc>
      </w:tr>
      <w:tr w:rsidR="00A23A8B" w:rsidRPr="000C18AB" w:rsidTr="006D0972">
        <w:tc>
          <w:tcPr>
            <w:tcW w:w="4495" w:type="dxa"/>
          </w:tcPr>
          <w:p w:rsidR="00A23A8B" w:rsidRPr="00613ABD" w:rsidRDefault="00A23A8B" w:rsidP="006D0972">
            <w:pPr>
              <w:rPr>
                <w:rFonts w:ascii="Times New Roman" w:hAnsi="Times New Roman" w:cs="Times New Roman"/>
                <w:b/>
                <w:sz w:val="24"/>
                <w:szCs w:val="24"/>
              </w:rPr>
            </w:pPr>
            <w:r w:rsidRPr="00613ABD">
              <w:rPr>
                <w:rFonts w:ascii="Times New Roman" w:hAnsi="Times New Roman" w:cs="Times New Roman"/>
                <w:b/>
                <w:sz w:val="24"/>
                <w:szCs w:val="24"/>
              </w:rPr>
              <w:t>Action Step</w:t>
            </w:r>
          </w:p>
        </w:tc>
        <w:tc>
          <w:tcPr>
            <w:tcW w:w="2520" w:type="dxa"/>
          </w:tcPr>
          <w:p w:rsidR="00A23A8B" w:rsidRPr="00613ABD" w:rsidRDefault="00A23A8B" w:rsidP="006D0972">
            <w:pPr>
              <w:rPr>
                <w:rFonts w:ascii="Times New Roman" w:hAnsi="Times New Roman" w:cs="Times New Roman"/>
                <w:b/>
                <w:sz w:val="24"/>
                <w:szCs w:val="24"/>
              </w:rPr>
            </w:pPr>
            <w:r w:rsidRPr="00613ABD">
              <w:rPr>
                <w:rFonts w:ascii="Times New Roman" w:hAnsi="Times New Roman" w:cs="Times New Roman"/>
                <w:b/>
                <w:sz w:val="24"/>
                <w:szCs w:val="24"/>
              </w:rPr>
              <w:t>Responsible</w:t>
            </w:r>
          </w:p>
        </w:tc>
        <w:tc>
          <w:tcPr>
            <w:tcW w:w="2160" w:type="dxa"/>
          </w:tcPr>
          <w:p w:rsidR="00A23A8B" w:rsidRPr="00613ABD" w:rsidRDefault="00A23A8B" w:rsidP="006D0972">
            <w:pPr>
              <w:rPr>
                <w:rFonts w:ascii="Times New Roman" w:hAnsi="Times New Roman" w:cs="Times New Roman"/>
                <w:b/>
                <w:sz w:val="24"/>
                <w:szCs w:val="24"/>
              </w:rPr>
            </w:pPr>
            <w:r w:rsidRPr="00613ABD">
              <w:rPr>
                <w:rFonts w:ascii="Times New Roman" w:hAnsi="Times New Roman" w:cs="Times New Roman"/>
                <w:b/>
                <w:sz w:val="24"/>
                <w:szCs w:val="24"/>
              </w:rPr>
              <w:t>Timeframe</w:t>
            </w:r>
          </w:p>
        </w:tc>
      </w:tr>
      <w:tr w:rsidR="00A23A8B" w:rsidTr="006D0972">
        <w:tc>
          <w:tcPr>
            <w:tcW w:w="4495" w:type="dxa"/>
          </w:tcPr>
          <w:p w:rsidR="00A23A8B" w:rsidRPr="00613ABD" w:rsidRDefault="00545FC9" w:rsidP="006D0972">
            <w:pPr>
              <w:rPr>
                <w:rFonts w:ascii="Times New Roman" w:hAnsi="Times New Roman" w:cs="Times New Roman"/>
                <w:sz w:val="24"/>
                <w:szCs w:val="24"/>
              </w:rPr>
            </w:pPr>
            <w:r>
              <w:rPr>
                <w:rFonts w:ascii="Times New Roman" w:hAnsi="Times New Roman" w:cs="Times New Roman"/>
                <w:sz w:val="24"/>
                <w:szCs w:val="24"/>
              </w:rPr>
              <w:t>Formalize</w:t>
            </w:r>
            <w:r w:rsidR="00A23A8B" w:rsidRPr="00613ABD">
              <w:rPr>
                <w:rFonts w:ascii="Times New Roman" w:hAnsi="Times New Roman" w:cs="Times New Roman"/>
                <w:sz w:val="24"/>
                <w:szCs w:val="24"/>
              </w:rPr>
              <w:t xml:space="preserve"> teaming practices regarding parole re-admissions to CJTS</w:t>
            </w:r>
            <w:r>
              <w:rPr>
                <w:rFonts w:ascii="Times New Roman" w:hAnsi="Times New Roman" w:cs="Times New Roman"/>
                <w:sz w:val="24"/>
                <w:szCs w:val="24"/>
              </w:rPr>
              <w:t xml:space="preserve"> in DCF policy</w:t>
            </w:r>
          </w:p>
          <w:p w:rsidR="00A23A8B" w:rsidRPr="00613ABD" w:rsidRDefault="00A23A8B" w:rsidP="006D0972">
            <w:pPr>
              <w:rPr>
                <w:rFonts w:ascii="Times New Roman" w:hAnsi="Times New Roman" w:cs="Times New Roman"/>
                <w:sz w:val="24"/>
                <w:szCs w:val="24"/>
              </w:rPr>
            </w:pPr>
          </w:p>
        </w:tc>
        <w:tc>
          <w:tcPr>
            <w:tcW w:w="2520" w:type="dxa"/>
          </w:tcPr>
          <w:p w:rsidR="00A23A8B" w:rsidRPr="00613ABD" w:rsidRDefault="00A23A8B" w:rsidP="006D0972">
            <w:pPr>
              <w:rPr>
                <w:rFonts w:ascii="Times New Roman" w:hAnsi="Times New Roman" w:cs="Times New Roman"/>
                <w:sz w:val="24"/>
                <w:szCs w:val="24"/>
              </w:rPr>
            </w:pPr>
            <w:r w:rsidRPr="00613ABD">
              <w:rPr>
                <w:rFonts w:ascii="Times New Roman" w:hAnsi="Times New Roman" w:cs="Times New Roman"/>
                <w:sz w:val="24"/>
                <w:szCs w:val="24"/>
              </w:rPr>
              <w:t>Legal Division</w:t>
            </w:r>
          </w:p>
        </w:tc>
        <w:tc>
          <w:tcPr>
            <w:tcW w:w="2160" w:type="dxa"/>
          </w:tcPr>
          <w:p w:rsidR="00A23A8B" w:rsidRPr="00613ABD" w:rsidRDefault="00A23A8B" w:rsidP="006D0972">
            <w:pPr>
              <w:rPr>
                <w:rFonts w:ascii="Times New Roman" w:hAnsi="Times New Roman" w:cs="Times New Roman"/>
                <w:sz w:val="24"/>
                <w:szCs w:val="24"/>
              </w:rPr>
            </w:pPr>
          </w:p>
        </w:tc>
      </w:tr>
      <w:tr w:rsidR="00A23A8B" w:rsidTr="006D0972">
        <w:tc>
          <w:tcPr>
            <w:tcW w:w="4495"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Work with CSSD to ensure 100% of youth committed delinquent have been assessed with the JAG</w:t>
            </w:r>
          </w:p>
          <w:p w:rsidR="00A23A8B" w:rsidRDefault="00A23A8B" w:rsidP="006D0972">
            <w:pPr>
              <w:rPr>
                <w:rFonts w:ascii="Times New Roman" w:hAnsi="Times New Roman" w:cs="Times New Roman"/>
                <w:sz w:val="24"/>
                <w:szCs w:val="24"/>
              </w:rPr>
            </w:pPr>
          </w:p>
        </w:tc>
        <w:tc>
          <w:tcPr>
            <w:tcW w:w="2520"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Division of Adolescent &amp; Juvenile Services; CSSD</w:t>
            </w:r>
          </w:p>
        </w:tc>
        <w:tc>
          <w:tcPr>
            <w:tcW w:w="2160" w:type="dxa"/>
          </w:tcPr>
          <w:p w:rsidR="00A23A8B" w:rsidRPr="00613ABD" w:rsidRDefault="00A23A8B" w:rsidP="006D0972">
            <w:pPr>
              <w:rPr>
                <w:rFonts w:ascii="Times New Roman" w:hAnsi="Times New Roman" w:cs="Times New Roman"/>
                <w:sz w:val="24"/>
                <w:szCs w:val="24"/>
              </w:rPr>
            </w:pPr>
          </w:p>
        </w:tc>
      </w:tr>
      <w:tr w:rsidR="00A23A8B" w:rsidTr="006D0972">
        <w:tc>
          <w:tcPr>
            <w:tcW w:w="4495" w:type="dxa"/>
          </w:tcPr>
          <w:p w:rsidR="00A23A8B" w:rsidRPr="00613ABD" w:rsidRDefault="00A23A8B" w:rsidP="006D0972">
            <w:pPr>
              <w:rPr>
                <w:rFonts w:ascii="Times New Roman" w:hAnsi="Times New Roman" w:cs="Times New Roman"/>
                <w:sz w:val="24"/>
                <w:szCs w:val="24"/>
              </w:rPr>
            </w:pPr>
            <w:r>
              <w:rPr>
                <w:rFonts w:ascii="Times New Roman" w:hAnsi="Times New Roman" w:cs="Times New Roman"/>
                <w:sz w:val="24"/>
                <w:szCs w:val="24"/>
              </w:rPr>
              <w:t>Use the YLS Screener at CJTS Intake</w:t>
            </w:r>
          </w:p>
          <w:p w:rsidR="00A23A8B" w:rsidRPr="00613ABD" w:rsidRDefault="00A23A8B" w:rsidP="006D0972">
            <w:pPr>
              <w:rPr>
                <w:rFonts w:ascii="Times New Roman" w:hAnsi="Times New Roman" w:cs="Times New Roman"/>
                <w:sz w:val="24"/>
                <w:szCs w:val="24"/>
              </w:rPr>
            </w:pPr>
          </w:p>
        </w:tc>
        <w:tc>
          <w:tcPr>
            <w:tcW w:w="2520" w:type="dxa"/>
          </w:tcPr>
          <w:p w:rsidR="00A23A8B" w:rsidRPr="00613ABD" w:rsidRDefault="00A23A8B" w:rsidP="006D097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A23A8B" w:rsidRPr="00613ABD" w:rsidRDefault="00A23A8B" w:rsidP="006D0972">
            <w:pPr>
              <w:rPr>
                <w:rFonts w:ascii="Times New Roman" w:hAnsi="Times New Roman" w:cs="Times New Roman"/>
                <w:sz w:val="24"/>
                <w:szCs w:val="24"/>
              </w:rPr>
            </w:pPr>
          </w:p>
        </w:tc>
      </w:tr>
      <w:tr w:rsidR="00A23A8B" w:rsidTr="006D0972">
        <w:tc>
          <w:tcPr>
            <w:tcW w:w="4495"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Use the YLS for treatment planning and placement decisions</w:t>
            </w:r>
          </w:p>
          <w:p w:rsidR="00A23A8B" w:rsidRDefault="00A23A8B" w:rsidP="006D0972">
            <w:pPr>
              <w:rPr>
                <w:rFonts w:ascii="Times New Roman" w:hAnsi="Times New Roman" w:cs="Times New Roman"/>
                <w:sz w:val="24"/>
                <w:szCs w:val="24"/>
              </w:rPr>
            </w:pPr>
          </w:p>
        </w:tc>
        <w:tc>
          <w:tcPr>
            <w:tcW w:w="2520"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CJTS Administration; DCF Regional Administrators</w:t>
            </w:r>
          </w:p>
          <w:p w:rsidR="00A23A8B" w:rsidRDefault="00A23A8B" w:rsidP="006D0972">
            <w:pPr>
              <w:rPr>
                <w:rFonts w:ascii="Times New Roman" w:hAnsi="Times New Roman" w:cs="Times New Roman"/>
                <w:sz w:val="24"/>
                <w:szCs w:val="24"/>
              </w:rPr>
            </w:pPr>
          </w:p>
        </w:tc>
        <w:tc>
          <w:tcPr>
            <w:tcW w:w="2160" w:type="dxa"/>
          </w:tcPr>
          <w:p w:rsidR="00A23A8B" w:rsidRPr="00613ABD" w:rsidRDefault="00A23A8B" w:rsidP="006D0972">
            <w:pPr>
              <w:rPr>
                <w:rFonts w:ascii="Times New Roman" w:hAnsi="Times New Roman" w:cs="Times New Roman"/>
                <w:sz w:val="24"/>
                <w:szCs w:val="24"/>
              </w:rPr>
            </w:pPr>
          </w:p>
        </w:tc>
      </w:tr>
    </w:tbl>
    <w:p w:rsidR="00534E22" w:rsidRDefault="00534E22"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4495"/>
        <w:gridCol w:w="2700"/>
        <w:gridCol w:w="2070"/>
      </w:tblGrid>
      <w:tr w:rsidR="00A23A8B" w:rsidTr="006D0972">
        <w:tc>
          <w:tcPr>
            <w:tcW w:w="9265" w:type="dxa"/>
            <w:gridSpan w:val="3"/>
            <w:shd w:val="clear" w:color="auto" w:fill="BFBFBF" w:themeFill="background1" w:themeFillShade="BF"/>
          </w:tcPr>
          <w:p w:rsidR="00A23A8B" w:rsidRPr="00176A68" w:rsidRDefault="00A23A8B" w:rsidP="006D0972">
            <w:pPr>
              <w:rPr>
                <w:rFonts w:ascii="Times New Roman" w:hAnsi="Times New Roman" w:cs="Times New Roman"/>
                <w:b/>
                <w:sz w:val="24"/>
                <w:szCs w:val="24"/>
              </w:rPr>
            </w:pPr>
            <w:r w:rsidRPr="000C18AB">
              <w:rPr>
                <w:rFonts w:ascii="Times New Roman" w:hAnsi="Times New Roman" w:cs="Times New Roman"/>
                <w:b/>
                <w:sz w:val="24"/>
                <w:szCs w:val="24"/>
              </w:rPr>
              <w:t>GOAL</w:t>
            </w:r>
            <w:r>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176A68">
              <w:rPr>
                <w:rFonts w:ascii="Times New Roman" w:hAnsi="Times New Roman" w:cs="Times New Roman"/>
                <w:b/>
                <w:sz w:val="24"/>
                <w:szCs w:val="24"/>
              </w:rPr>
              <w:t>Improve community supervision</w:t>
            </w:r>
            <w:r>
              <w:rPr>
                <w:rFonts w:ascii="Times New Roman" w:hAnsi="Times New Roman" w:cs="Times New Roman"/>
                <w:b/>
                <w:sz w:val="24"/>
                <w:szCs w:val="24"/>
              </w:rPr>
              <w:t xml:space="preserve"> of youth</w:t>
            </w:r>
          </w:p>
          <w:p w:rsidR="00A23A8B" w:rsidRDefault="00A23A8B" w:rsidP="006D0972">
            <w:pPr>
              <w:rPr>
                <w:rFonts w:ascii="Times New Roman" w:hAnsi="Times New Roman" w:cs="Times New Roman"/>
                <w:sz w:val="24"/>
                <w:szCs w:val="24"/>
              </w:rPr>
            </w:pPr>
          </w:p>
        </w:tc>
      </w:tr>
      <w:tr w:rsidR="00A23A8B" w:rsidRPr="000C18AB" w:rsidTr="006D0972">
        <w:tc>
          <w:tcPr>
            <w:tcW w:w="4495" w:type="dxa"/>
          </w:tcPr>
          <w:p w:rsidR="00A23A8B" w:rsidRPr="000C18AB" w:rsidRDefault="00A23A8B" w:rsidP="006D0972">
            <w:pPr>
              <w:rPr>
                <w:rFonts w:ascii="Times New Roman" w:hAnsi="Times New Roman" w:cs="Times New Roman"/>
                <w:b/>
                <w:sz w:val="24"/>
                <w:szCs w:val="24"/>
              </w:rPr>
            </w:pPr>
            <w:r w:rsidRPr="000C18AB">
              <w:rPr>
                <w:rFonts w:ascii="Times New Roman" w:hAnsi="Times New Roman" w:cs="Times New Roman"/>
                <w:b/>
                <w:sz w:val="24"/>
                <w:szCs w:val="24"/>
              </w:rPr>
              <w:t>Action Step</w:t>
            </w:r>
          </w:p>
        </w:tc>
        <w:tc>
          <w:tcPr>
            <w:tcW w:w="2700" w:type="dxa"/>
          </w:tcPr>
          <w:p w:rsidR="00A23A8B" w:rsidRPr="000C18AB" w:rsidRDefault="00A23A8B" w:rsidP="006D0972">
            <w:pPr>
              <w:rPr>
                <w:rFonts w:ascii="Times New Roman" w:hAnsi="Times New Roman" w:cs="Times New Roman"/>
                <w:b/>
                <w:sz w:val="24"/>
                <w:szCs w:val="24"/>
              </w:rPr>
            </w:pPr>
            <w:r w:rsidRPr="000C18AB">
              <w:rPr>
                <w:rFonts w:ascii="Times New Roman" w:hAnsi="Times New Roman" w:cs="Times New Roman"/>
                <w:b/>
                <w:sz w:val="24"/>
                <w:szCs w:val="24"/>
              </w:rPr>
              <w:t>Responsible</w:t>
            </w:r>
          </w:p>
        </w:tc>
        <w:tc>
          <w:tcPr>
            <w:tcW w:w="2070" w:type="dxa"/>
          </w:tcPr>
          <w:p w:rsidR="00A23A8B" w:rsidRPr="000C18AB" w:rsidRDefault="00A23A8B" w:rsidP="006D0972">
            <w:pPr>
              <w:rPr>
                <w:rFonts w:ascii="Times New Roman" w:hAnsi="Times New Roman" w:cs="Times New Roman"/>
                <w:b/>
                <w:sz w:val="24"/>
                <w:szCs w:val="24"/>
              </w:rPr>
            </w:pPr>
            <w:r w:rsidRPr="000C18AB">
              <w:rPr>
                <w:rFonts w:ascii="Times New Roman" w:hAnsi="Times New Roman" w:cs="Times New Roman"/>
                <w:b/>
                <w:sz w:val="24"/>
                <w:szCs w:val="24"/>
              </w:rPr>
              <w:t>Timeframe</w:t>
            </w:r>
          </w:p>
        </w:tc>
      </w:tr>
      <w:tr w:rsidR="00A23A8B" w:rsidTr="006D0972">
        <w:tc>
          <w:tcPr>
            <w:tcW w:w="4495" w:type="dxa"/>
          </w:tcPr>
          <w:p w:rsidR="00A23A8B" w:rsidRPr="00176A68" w:rsidRDefault="00A23A8B" w:rsidP="006D0972">
            <w:pPr>
              <w:rPr>
                <w:rFonts w:ascii="Times New Roman" w:hAnsi="Times New Roman" w:cs="Times New Roman"/>
                <w:sz w:val="24"/>
                <w:szCs w:val="24"/>
              </w:rPr>
            </w:pPr>
            <w:r w:rsidRPr="00176A68">
              <w:rPr>
                <w:rFonts w:ascii="Times New Roman" w:hAnsi="Times New Roman" w:cs="Times New Roman"/>
                <w:sz w:val="24"/>
                <w:szCs w:val="24"/>
              </w:rPr>
              <w:t>Revise the functional job description of JJ social workers</w:t>
            </w:r>
          </w:p>
          <w:p w:rsidR="00A23A8B" w:rsidRDefault="00A23A8B" w:rsidP="006D0972">
            <w:pPr>
              <w:rPr>
                <w:rFonts w:ascii="Times New Roman" w:hAnsi="Times New Roman" w:cs="Times New Roman"/>
                <w:sz w:val="24"/>
                <w:szCs w:val="24"/>
              </w:rPr>
            </w:pPr>
          </w:p>
        </w:tc>
        <w:tc>
          <w:tcPr>
            <w:tcW w:w="2700"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Human Resources Division</w:t>
            </w:r>
          </w:p>
          <w:p w:rsidR="00A23A8B" w:rsidRDefault="00A23A8B" w:rsidP="006D0972">
            <w:pPr>
              <w:rPr>
                <w:rFonts w:ascii="Times New Roman" w:hAnsi="Times New Roman" w:cs="Times New Roman"/>
                <w:sz w:val="24"/>
                <w:szCs w:val="24"/>
              </w:rPr>
            </w:pPr>
          </w:p>
        </w:tc>
        <w:tc>
          <w:tcPr>
            <w:tcW w:w="2070" w:type="dxa"/>
          </w:tcPr>
          <w:p w:rsidR="00A23A8B" w:rsidRDefault="00A23A8B" w:rsidP="006D0972">
            <w:pPr>
              <w:rPr>
                <w:rFonts w:ascii="Times New Roman" w:hAnsi="Times New Roman" w:cs="Times New Roman"/>
                <w:sz w:val="24"/>
                <w:szCs w:val="24"/>
              </w:rPr>
            </w:pPr>
          </w:p>
        </w:tc>
      </w:tr>
      <w:tr w:rsidR="00A23A8B" w:rsidTr="006D0972">
        <w:tc>
          <w:tcPr>
            <w:tcW w:w="4495" w:type="dxa"/>
          </w:tcPr>
          <w:p w:rsidR="00A23A8B" w:rsidRPr="00176A68" w:rsidRDefault="00A23A8B" w:rsidP="006D0972">
            <w:pPr>
              <w:rPr>
                <w:rFonts w:ascii="Times New Roman" w:hAnsi="Times New Roman" w:cs="Times New Roman"/>
                <w:sz w:val="24"/>
                <w:szCs w:val="24"/>
              </w:rPr>
            </w:pPr>
            <w:r w:rsidRPr="00176A68">
              <w:rPr>
                <w:rFonts w:ascii="Times New Roman" w:hAnsi="Times New Roman" w:cs="Times New Roman"/>
                <w:sz w:val="24"/>
                <w:szCs w:val="24"/>
              </w:rPr>
              <w:t xml:space="preserve">Implement more frequent visitation standards based on </w:t>
            </w:r>
            <w:r>
              <w:rPr>
                <w:rFonts w:ascii="Times New Roman" w:hAnsi="Times New Roman" w:cs="Times New Roman"/>
                <w:sz w:val="24"/>
                <w:szCs w:val="24"/>
              </w:rPr>
              <w:t xml:space="preserve">a </w:t>
            </w:r>
            <w:r w:rsidRPr="00176A68">
              <w:rPr>
                <w:rFonts w:ascii="Times New Roman" w:hAnsi="Times New Roman" w:cs="Times New Roman"/>
                <w:sz w:val="24"/>
                <w:szCs w:val="24"/>
              </w:rPr>
              <w:t>S</w:t>
            </w:r>
            <w:r>
              <w:rPr>
                <w:rFonts w:ascii="Times New Roman" w:hAnsi="Times New Roman" w:cs="Times New Roman"/>
                <w:sz w:val="24"/>
                <w:szCs w:val="24"/>
              </w:rPr>
              <w:t xml:space="preserve">tructured </w:t>
            </w:r>
            <w:r w:rsidRPr="00176A68">
              <w:rPr>
                <w:rFonts w:ascii="Times New Roman" w:hAnsi="Times New Roman" w:cs="Times New Roman"/>
                <w:sz w:val="24"/>
                <w:szCs w:val="24"/>
              </w:rPr>
              <w:t>D</w:t>
            </w:r>
            <w:r>
              <w:rPr>
                <w:rFonts w:ascii="Times New Roman" w:hAnsi="Times New Roman" w:cs="Times New Roman"/>
                <w:sz w:val="24"/>
                <w:szCs w:val="24"/>
              </w:rPr>
              <w:t xml:space="preserve">ecision </w:t>
            </w:r>
            <w:r w:rsidRPr="00176A68">
              <w:rPr>
                <w:rFonts w:ascii="Times New Roman" w:hAnsi="Times New Roman" w:cs="Times New Roman"/>
                <w:sz w:val="24"/>
                <w:szCs w:val="24"/>
              </w:rPr>
              <w:t>M</w:t>
            </w:r>
            <w:r>
              <w:rPr>
                <w:rFonts w:ascii="Times New Roman" w:hAnsi="Times New Roman" w:cs="Times New Roman"/>
                <w:sz w:val="24"/>
                <w:szCs w:val="24"/>
              </w:rPr>
              <w:t>aking</w:t>
            </w:r>
            <w:r w:rsidRPr="00176A68">
              <w:rPr>
                <w:rFonts w:ascii="Times New Roman" w:hAnsi="Times New Roman" w:cs="Times New Roman"/>
                <w:sz w:val="24"/>
                <w:szCs w:val="24"/>
              </w:rPr>
              <w:t xml:space="preserve"> matrix</w:t>
            </w:r>
          </w:p>
          <w:p w:rsidR="00A23A8B" w:rsidRPr="000C18AB" w:rsidRDefault="00A23A8B" w:rsidP="006D0972">
            <w:pPr>
              <w:rPr>
                <w:rFonts w:ascii="Times New Roman" w:hAnsi="Times New Roman" w:cs="Times New Roman"/>
                <w:sz w:val="24"/>
                <w:szCs w:val="24"/>
              </w:rPr>
            </w:pPr>
          </w:p>
        </w:tc>
        <w:tc>
          <w:tcPr>
            <w:tcW w:w="2700"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DCF Regional Administrators</w:t>
            </w:r>
          </w:p>
        </w:tc>
        <w:tc>
          <w:tcPr>
            <w:tcW w:w="2070" w:type="dxa"/>
          </w:tcPr>
          <w:p w:rsidR="00A23A8B" w:rsidRDefault="00A23A8B" w:rsidP="006D0972">
            <w:pPr>
              <w:rPr>
                <w:rFonts w:ascii="Times New Roman" w:hAnsi="Times New Roman" w:cs="Times New Roman"/>
                <w:sz w:val="24"/>
                <w:szCs w:val="24"/>
              </w:rPr>
            </w:pPr>
          </w:p>
        </w:tc>
      </w:tr>
      <w:tr w:rsidR="00A23A8B" w:rsidTr="006D0972">
        <w:tc>
          <w:tcPr>
            <w:tcW w:w="4495" w:type="dxa"/>
          </w:tcPr>
          <w:p w:rsidR="00A23A8B" w:rsidRPr="00176A68" w:rsidRDefault="00A23A8B" w:rsidP="006D0972">
            <w:pPr>
              <w:rPr>
                <w:rFonts w:ascii="Times New Roman" w:hAnsi="Times New Roman" w:cs="Times New Roman"/>
                <w:sz w:val="24"/>
                <w:szCs w:val="24"/>
              </w:rPr>
            </w:pPr>
            <w:r>
              <w:rPr>
                <w:rFonts w:ascii="Times New Roman" w:hAnsi="Times New Roman" w:cs="Times New Roman"/>
                <w:sz w:val="24"/>
                <w:szCs w:val="24"/>
              </w:rPr>
              <w:t>Implement intensive community services, such as Roca</w:t>
            </w:r>
          </w:p>
          <w:p w:rsidR="00A23A8B" w:rsidRPr="000C18AB" w:rsidRDefault="00A23A8B" w:rsidP="006D0972">
            <w:pPr>
              <w:rPr>
                <w:rFonts w:ascii="Times New Roman" w:hAnsi="Times New Roman" w:cs="Times New Roman"/>
                <w:sz w:val="24"/>
                <w:szCs w:val="24"/>
              </w:rPr>
            </w:pPr>
          </w:p>
        </w:tc>
        <w:tc>
          <w:tcPr>
            <w:tcW w:w="2700" w:type="dxa"/>
          </w:tcPr>
          <w:p w:rsidR="00A23A8B" w:rsidRDefault="00A23A8B" w:rsidP="006D0972">
            <w:pPr>
              <w:rPr>
                <w:rFonts w:ascii="Times New Roman" w:hAnsi="Times New Roman" w:cs="Times New Roman"/>
                <w:sz w:val="24"/>
                <w:szCs w:val="24"/>
              </w:rPr>
            </w:pPr>
            <w:r>
              <w:rPr>
                <w:rFonts w:ascii="Times New Roman" w:hAnsi="Times New Roman" w:cs="Times New Roman"/>
                <w:sz w:val="24"/>
                <w:szCs w:val="24"/>
              </w:rPr>
              <w:t>Division of Adolescent &amp; Juvenile Services</w:t>
            </w:r>
          </w:p>
        </w:tc>
        <w:tc>
          <w:tcPr>
            <w:tcW w:w="2070" w:type="dxa"/>
          </w:tcPr>
          <w:p w:rsidR="00A23A8B" w:rsidRDefault="00A23A8B" w:rsidP="006D0972">
            <w:pPr>
              <w:rPr>
                <w:rFonts w:ascii="Times New Roman" w:hAnsi="Times New Roman" w:cs="Times New Roman"/>
                <w:sz w:val="24"/>
                <w:szCs w:val="24"/>
              </w:rPr>
            </w:pPr>
          </w:p>
        </w:tc>
      </w:tr>
    </w:tbl>
    <w:p w:rsidR="00A23A8B" w:rsidRDefault="00A23A8B" w:rsidP="00C71731">
      <w:pPr>
        <w:spacing w:after="0"/>
        <w:rPr>
          <w:rFonts w:ascii="Times New Roman" w:hAnsi="Times New Roman" w:cs="Times New Roman"/>
          <w:sz w:val="24"/>
          <w:szCs w:val="24"/>
        </w:rPr>
      </w:pPr>
      <w:r>
        <w:rPr>
          <w:rFonts w:ascii="Times New Roman" w:hAnsi="Times New Roman" w:cs="Times New Roman"/>
          <w:sz w:val="24"/>
          <w:szCs w:val="24"/>
        </w:rPr>
        <w:br/>
      </w:r>
    </w:p>
    <w:p w:rsidR="00A23A8B" w:rsidRDefault="00A23A8B"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p w:rsidR="004B1BEC" w:rsidRDefault="004B1BEC" w:rsidP="00C71731">
      <w:pPr>
        <w:spacing w:after="0"/>
        <w:rPr>
          <w:rFonts w:ascii="Times New Roman" w:hAnsi="Times New Roman" w:cs="Times New Roman"/>
          <w:sz w:val="24"/>
          <w:szCs w:val="24"/>
        </w:rPr>
      </w:pPr>
    </w:p>
    <w:p w:rsidR="004B1BEC" w:rsidRDefault="004B1BEC"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p w:rsidR="00A23A8B" w:rsidRDefault="00A23A8B" w:rsidP="00C71731">
      <w:pPr>
        <w:spacing w:after="0"/>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4495"/>
        <w:gridCol w:w="2700"/>
        <w:gridCol w:w="2070"/>
      </w:tblGrid>
      <w:tr w:rsidR="00F459F3" w:rsidTr="003E5C72">
        <w:tc>
          <w:tcPr>
            <w:tcW w:w="9265" w:type="dxa"/>
            <w:gridSpan w:val="3"/>
            <w:shd w:val="clear" w:color="auto" w:fill="BFBFBF" w:themeFill="background1" w:themeFillShade="BF"/>
          </w:tcPr>
          <w:p w:rsidR="00F459F3" w:rsidRDefault="00F459F3" w:rsidP="00D64A22">
            <w:pPr>
              <w:rPr>
                <w:rFonts w:ascii="Times New Roman" w:hAnsi="Times New Roman" w:cs="Times New Roman"/>
                <w:b/>
                <w:sz w:val="24"/>
                <w:szCs w:val="24"/>
              </w:rPr>
            </w:pPr>
            <w:r w:rsidRPr="000C18AB">
              <w:rPr>
                <w:rFonts w:ascii="Times New Roman" w:hAnsi="Times New Roman" w:cs="Times New Roman"/>
                <w:b/>
                <w:sz w:val="24"/>
                <w:szCs w:val="24"/>
              </w:rPr>
              <w:t>GOAL</w:t>
            </w:r>
            <w:r w:rsidR="00A23A8B">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8A13EE">
              <w:rPr>
                <w:rFonts w:ascii="Times New Roman" w:hAnsi="Times New Roman" w:cs="Times New Roman"/>
                <w:b/>
                <w:sz w:val="24"/>
                <w:szCs w:val="24"/>
              </w:rPr>
              <w:t>Increase access/availability</w:t>
            </w:r>
            <w:r w:rsidRPr="00F459F3">
              <w:rPr>
                <w:rFonts w:ascii="Times New Roman" w:hAnsi="Times New Roman" w:cs="Times New Roman"/>
                <w:b/>
                <w:sz w:val="24"/>
                <w:szCs w:val="24"/>
              </w:rPr>
              <w:t xml:space="preserve"> of non-residential community-based services</w:t>
            </w:r>
          </w:p>
          <w:p w:rsidR="00F459F3" w:rsidRDefault="00F459F3" w:rsidP="00D64A22">
            <w:pPr>
              <w:rPr>
                <w:rFonts w:ascii="Times New Roman" w:hAnsi="Times New Roman" w:cs="Times New Roman"/>
                <w:sz w:val="24"/>
                <w:szCs w:val="24"/>
              </w:rPr>
            </w:pPr>
          </w:p>
        </w:tc>
      </w:tr>
      <w:tr w:rsidR="00F459F3" w:rsidRPr="000C18AB" w:rsidTr="003E5C72">
        <w:tc>
          <w:tcPr>
            <w:tcW w:w="4495" w:type="dxa"/>
          </w:tcPr>
          <w:p w:rsidR="00F459F3" w:rsidRPr="000C18AB" w:rsidRDefault="00F459F3" w:rsidP="00D64A22">
            <w:pPr>
              <w:rPr>
                <w:rFonts w:ascii="Times New Roman" w:hAnsi="Times New Roman" w:cs="Times New Roman"/>
                <w:b/>
                <w:sz w:val="24"/>
                <w:szCs w:val="24"/>
              </w:rPr>
            </w:pPr>
            <w:r w:rsidRPr="000C18AB">
              <w:rPr>
                <w:rFonts w:ascii="Times New Roman" w:hAnsi="Times New Roman" w:cs="Times New Roman"/>
                <w:b/>
                <w:sz w:val="24"/>
                <w:szCs w:val="24"/>
              </w:rPr>
              <w:t>Action Step</w:t>
            </w:r>
          </w:p>
        </w:tc>
        <w:tc>
          <w:tcPr>
            <w:tcW w:w="2700" w:type="dxa"/>
          </w:tcPr>
          <w:p w:rsidR="00F459F3" w:rsidRPr="000C18AB" w:rsidRDefault="00F459F3" w:rsidP="00D64A22">
            <w:pPr>
              <w:rPr>
                <w:rFonts w:ascii="Times New Roman" w:hAnsi="Times New Roman" w:cs="Times New Roman"/>
                <w:b/>
                <w:sz w:val="24"/>
                <w:szCs w:val="24"/>
              </w:rPr>
            </w:pPr>
            <w:r w:rsidRPr="000C18AB">
              <w:rPr>
                <w:rFonts w:ascii="Times New Roman" w:hAnsi="Times New Roman" w:cs="Times New Roman"/>
                <w:b/>
                <w:sz w:val="24"/>
                <w:szCs w:val="24"/>
              </w:rPr>
              <w:t>Responsible</w:t>
            </w:r>
          </w:p>
        </w:tc>
        <w:tc>
          <w:tcPr>
            <w:tcW w:w="2070" w:type="dxa"/>
          </w:tcPr>
          <w:p w:rsidR="00F459F3" w:rsidRPr="000C18AB" w:rsidRDefault="00F459F3" w:rsidP="00D64A22">
            <w:pPr>
              <w:rPr>
                <w:rFonts w:ascii="Times New Roman" w:hAnsi="Times New Roman" w:cs="Times New Roman"/>
                <w:b/>
                <w:sz w:val="24"/>
                <w:szCs w:val="24"/>
              </w:rPr>
            </w:pPr>
            <w:r w:rsidRPr="000C18AB">
              <w:rPr>
                <w:rFonts w:ascii="Times New Roman" w:hAnsi="Times New Roman" w:cs="Times New Roman"/>
                <w:b/>
                <w:sz w:val="24"/>
                <w:szCs w:val="24"/>
              </w:rPr>
              <w:t>Timeframe</w:t>
            </w:r>
          </w:p>
        </w:tc>
      </w:tr>
      <w:tr w:rsidR="00F459F3" w:rsidTr="003E5C72">
        <w:tc>
          <w:tcPr>
            <w:tcW w:w="4495" w:type="dxa"/>
          </w:tcPr>
          <w:p w:rsidR="00485E6C" w:rsidRPr="00485E6C" w:rsidRDefault="005C0978" w:rsidP="00485E6C">
            <w:pPr>
              <w:rPr>
                <w:rFonts w:ascii="Times New Roman" w:hAnsi="Times New Roman" w:cs="Times New Roman"/>
                <w:sz w:val="24"/>
                <w:szCs w:val="24"/>
              </w:rPr>
            </w:pPr>
            <w:r>
              <w:rPr>
                <w:rFonts w:ascii="Times New Roman" w:hAnsi="Times New Roman" w:cs="Times New Roman"/>
                <w:sz w:val="24"/>
                <w:szCs w:val="24"/>
              </w:rPr>
              <w:t>Enhance</w:t>
            </w:r>
            <w:r w:rsidR="00485E6C" w:rsidRPr="00485E6C">
              <w:rPr>
                <w:rFonts w:ascii="Times New Roman" w:hAnsi="Times New Roman" w:cs="Times New Roman"/>
                <w:sz w:val="24"/>
                <w:szCs w:val="24"/>
              </w:rPr>
              <w:t xml:space="preserve"> vocational training and employment opportunities</w:t>
            </w:r>
            <w:r w:rsidR="00EB07A3">
              <w:rPr>
                <w:rFonts w:ascii="Times New Roman" w:hAnsi="Times New Roman" w:cs="Times New Roman"/>
                <w:sz w:val="24"/>
                <w:szCs w:val="24"/>
              </w:rPr>
              <w:t xml:space="preserve"> at CJTS and in the community</w:t>
            </w:r>
          </w:p>
          <w:p w:rsidR="00F459F3" w:rsidRDefault="00F459F3" w:rsidP="00D64A22">
            <w:pPr>
              <w:rPr>
                <w:rFonts w:ascii="Times New Roman" w:hAnsi="Times New Roman" w:cs="Times New Roman"/>
                <w:sz w:val="24"/>
                <w:szCs w:val="24"/>
              </w:rPr>
            </w:pPr>
          </w:p>
        </w:tc>
        <w:tc>
          <w:tcPr>
            <w:tcW w:w="2700" w:type="dxa"/>
          </w:tcPr>
          <w:p w:rsidR="00F459F3" w:rsidRDefault="003E5C72" w:rsidP="00D64A22">
            <w:pPr>
              <w:rPr>
                <w:rFonts w:ascii="Times New Roman" w:hAnsi="Times New Roman" w:cs="Times New Roman"/>
                <w:sz w:val="24"/>
                <w:szCs w:val="24"/>
              </w:rPr>
            </w:pPr>
            <w:r>
              <w:rPr>
                <w:rFonts w:ascii="Times New Roman" w:hAnsi="Times New Roman" w:cs="Times New Roman"/>
                <w:sz w:val="24"/>
                <w:szCs w:val="24"/>
              </w:rPr>
              <w:t>Division of Adolescent &amp; Juvenile Services;</w:t>
            </w:r>
          </w:p>
          <w:p w:rsidR="003E5C72" w:rsidRDefault="003E5C72" w:rsidP="00D64A22">
            <w:pPr>
              <w:rPr>
                <w:rFonts w:ascii="Times New Roman" w:hAnsi="Times New Roman" w:cs="Times New Roman"/>
                <w:sz w:val="24"/>
                <w:szCs w:val="24"/>
              </w:rPr>
            </w:pPr>
            <w:r>
              <w:rPr>
                <w:rFonts w:ascii="Times New Roman" w:hAnsi="Times New Roman" w:cs="Times New Roman"/>
                <w:sz w:val="24"/>
                <w:szCs w:val="24"/>
              </w:rPr>
              <w:t>Unified School District 2</w:t>
            </w:r>
            <w:r w:rsidR="008A13EE">
              <w:rPr>
                <w:rFonts w:ascii="Times New Roman" w:hAnsi="Times New Roman" w:cs="Times New Roman"/>
                <w:sz w:val="24"/>
                <w:szCs w:val="24"/>
              </w:rPr>
              <w:t>; Regional Systems Program Directors</w:t>
            </w:r>
          </w:p>
        </w:tc>
        <w:tc>
          <w:tcPr>
            <w:tcW w:w="2070" w:type="dxa"/>
          </w:tcPr>
          <w:p w:rsidR="00F459F3" w:rsidRDefault="00F459F3" w:rsidP="00D64A22">
            <w:pPr>
              <w:rPr>
                <w:rFonts w:ascii="Times New Roman" w:hAnsi="Times New Roman" w:cs="Times New Roman"/>
                <w:sz w:val="24"/>
                <w:szCs w:val="24"/>
              </w:rPr>
            </w:pPr>
          </w:p>
        </w:tc>
      </w:tr>
      <w:tr w:rsidR="00F459F3" w:rsidTr="003E5C72">
        <w:tc>
          <w:tcPr>
            <w:tcW w:w="4495" w:type="dxa"/>
          </w:tcPr>
          <w:p w:rsidR="00485E6C" w:rsidRPr="00485E6C" w:rsidRDefault="00485E6C" w:rsidP="00485E6C">
            <w:pPr>
              <w:rPr>
                <w:rFonts w:ascii="Times New Roman" w:hAnsi="Times New Roman" w:cs="Times New Roman"/>
                <w:sz w:val="24"/>
                <w:szCs w:val="24"/>
              </w:rPr>
            </w:pPr>
            <w:r w:rsidRPr="00485E6C">
              <w:rPr>
                <w:rFonts w:ascii="Times New Roman" w:hAnsi="Times New Roman" w:cs="Times New Roman"/>
                <w:sz w:val="24"/>
                <w:szCs w:val="24"/>
              </w:rPr>
              <w:t>Enhance access to substance abuse treatment and recovery supports</w:t>
            </w:r>
          </w:p>
          <w:p w:rsidR="00F459F3" w:rsidRPr="000C18AB" w:rsidRDefault="00F459F3" w:rsidP="00D64A22">
            <w:pPr>
              <w:rPr>
                <w:rFonts w:ascii="Times New Roman" w:hAnsi="Times New Roman" w:cs="Times New Roman"/>
                <w:sz w:val="24"/>
                <w:szCs w:val="24"/>
              </w:rPr>
            </w:pPr>
          </w:p>
        </w:tc>
        <w:tc>
          <w:tcPr>
            <w:tcW w:w="2700" w:type="dxa"/>
          </w:tcPr>
          <w:p w:rsidR="003E5C72" w:rsidRDefault="003E5C72" w:rsidP="003E5C72">
            <w:pPr>
              <w:rPr>
                <w:rFonts w:ascii="Times New Roman" w:hAnsi="Times New Roman" w:cs="Times New Roman"/>
                <w:sz w:val="24"/>
                <w:szCs w:val="24"/>
              </w:rPr>
            </w:pPr>
            <w:r>
              <w:rPr>
                <w:rFonts w:ascii="Times New Roman" w:hAnsi="Times New Roman" w:cs="Times New Roman"/>
                <w:sz w:val="24"/>
                <w:szCs w:val="24"/>
              </w:rPr>
              <w:t>Division of Adolescent &amp; Juvenile Services;</w:t>
            </w:r>
          </w:p>
          <w:p w:rsidR="00F459F3" w:rsidRDefault="003E5C72" w:rsidP="00D64A22">
            <w:pPr>
              <w:rPr>
                <w:rFonts w:ascii="Times New Roman" w:hAnsi="Times New Roman" w:cs="Times New Roman"/>
                <w:sz w:val="24"/>
                <w:szCs w:val="24"/>
              </w:rPr>
            </w:pPr>
            <w:r>
              <w:rPr>
                <w:rFonts w:ascii="Times New Roman" w:hAnsi="Times New Roman" w:cs="Times New Roman"/>
                <w:sz w:val="24"/>
                <w:szCs w:val="24"/>
              </w:rPr>
              <w:t>Division of Clinical and Community Consultation and Support</w:t>
            </w:r>
            <w:r w:rsidR="008A13EE">
              <w:rPr>
                <w:rFonts w:ascii="Times New Roman" w:hAnsi="Times New Roman" w:cs="Times New Roman"/>
                <w:sz w:val="24"/>
                <w:szCs w:val="24"/>
              </w:rPr>
              <w:t>; Regional Systems Program Directors</w:t>
            </w:r>
          </w:p>
        </w:tc>
        <w:tc>
          <w:tcPr>
            <w:tcW w:w="2070" w:type="dxa"/>
          </w:tcPr>
          <w:p w:rsidR="00F459F3" w:rsidRDefault="00F459F3" w:rsidP="00D64A22">
            <w:pPr>
              <w:rPr>
                <w:rFonts w:ascii="Times New Roman" w:hAnsi="Times New Roman" w:cs="Times New Roman"/>
                <w:sz w:val="24"/>
                <w:szCs w:val="24"/>
              </w:rPr>
            </w:pPr>
          </w:p>
        </w:tc>
      </w:tr>
      <w:tr w:rsidR="00485E6C" w:rsidTr="003E5C72">
        <w:tc>
          <w:tcPr>
            <w:tcW w:w="4495" w:type="dxa"/>
          </w:tcPr>
          <w:p w:rsidR="00485E6C" w:rsidRPr="00485E6C" w:rsidRDefault="003E5C72" w:rsidP="00485E6C">
            <w:pPr>
              <w:rPr>
                <w:rFonts w:ascii="Times New Roman" w:hAnsi="Times New Roman" w:cs="Times New Roman"/>
                <w:sz w:val="24"/>
                <w:szCs w:val="24"/>
              </w:rPr>
            </w:pPr>
            <w:r>
              <w:rPr>
                <w:rFonts w:ascii="Times New Roman" w:hAnsi="Times New Roman" w:cs="Times New Roman"/>
                <w:sz w:val="24"/>
                <w:szCs w:val="24"/>
              </w:rPr>
              <w:t>Develop h</w:t>
            </w:r>
            <w:r w:rsidR="00485E6C" w:rsidRPr="00485E6C">
              <w:rPr>
                <w:rFonts w:ascii="Times New Roman" w:hAnsi="Times New Roman" w:cs="Times New Roman"/>
                <w:sz w:val="24"/>
                <w:szCs w:val="24"/>
              </w:rPr>
              <w:t xml:space="preserve">ousing programs </w:t>
            </w:r>
            <w:r>
              <w:rPr>
                <w:rFonts w:ascii="Times New Roman" w:hAnsi="Times New Roman" w:cs="Times New Roman"/>
                <w:sz w:val="24"/>
                <w:szCs w:val="24"/>
              </w:rPr>
              <w:t>and options for juvenile justice</w:t>
            </w:r>
            <w:r w:rsidR="00485E6C" w:rsidRPr="00485E6C">
              <w:rPr>
                <w:rFonts w:ascii="Times New Roman" w:hAnsi="Times New Roman" w:cs="Times New Roman"/>
                <w:sz w:val="24"/>
                <w:szCs w:val="24"/>
              </w:rPr>
              <w:t xml:space="preserve"> involved youth</w:t>
            </w:r>
          </w:p>
          <w:p w:rsidR="00485E6C" w:rsidRPr="00485E6C" w:rsidRDefault="00485E6C" w:rsidP="00485E6C">
            <w:pPr>
              <w:rPr>
                <w:rFonts w:ascii="Times New Roman" w:hAnsi="Times New Roman" w:cs="Times New Roman"/>
                <w:sz w:val="24"/>
                <w:szCs w:val="24"/>
              </w:rPr>
            </w:pPr>
          </w:p>
        </w:tc>
        <w:tc>
          <w:tcPr>
            <w:tcW w:w="2700" w:type="dxa"/>
          </w:tcPr>
          <w:p w:rsidR="00485E6C" w:rsidRDefault="003E5C72" w:rsidP="00D64A22">
            <w:pPr>
              <w:rPr>
                <w:rFonts w:ascii="Times New Roman" w:hAnsi="Times New Roman" w:cs="Times New Roman"/>
                <w:sz w:val="24"/>
                <w:szCs w:val="24"/>
              </w:rPr>
            </w:pPr>
            <w:r>
              <w:rPr>
                <w:rFonts w:ascii="Times New Roman" w:hAnsi="Times New Roman" w:cs="Times New Roman"/>
                <w:sz w:val="24"/>
                <w:szCs w:val="24"/>
              </w:rPr>
              <w:t>Division of Adolescent &amp; Juvenile Services</w:t>
            </w:r>
            <w:r w:rsidR="008A13EE">
              <w:rPr>
                <w:rFonts w:ascii="Times New Roman" w:hAnsi="Times New Roman" w:cs="Times New Roman"/>
                <w:sz w:val="24"/>
                <w:szCs w:val="24"/>
              </w:rPr>
              <w:t>; Regional Systems Program Directors</w:t>
            </w:r>
          </w:p>
        </w:tc>
        <w:tc>
          <w:tcPr>
            <w:tcW w:w="2070" w:type="dxa"/>
          </w:tcPr>
          <w:p w:rsidR="00485E6C" w:rsidRDefault="00485E6C" w:rsidP="00D64A22">
            <w:pPr>
              <w:rPr>
                <w:rFonts w:ascii="Times New Roman" w:hAnsi="Times New Roman" w:cs="Times New Roman"/>
                <w:sz w:val="24"/>
                <w:szCs w:val="24"/>
              </w:rPr>
            </w:pPr>
          </w:p>
        </w:tc>
      </w:tr>
      <w:tr w:rsidR="00485E6C" w:rsidTr="003E5C72">
        <w:tc>
          <w:tcPr>
            <w:tcW w:w="4495" w:type="dxa"/>
          </w:tcPr>
          <w:p w:rsidR="00485E6C" w:rsidRPr="00485E6C" w:rsidRDefault="005C0978" w:rsidP="00485E6C">
            <w:pPr>
              <w:rPr>
                <w:rFonts w:ascii="Times New Roman" w:hAnsi="Times New Roman" w:cs="Times New Roman"/>
                <w:sz w:val="24"/>
                <w:szCs w:val="24"/>
              </w:rPr>
            </w:pPr>
            <w:r>
              <w:rPr>
                <w:rFonts w:ascii="Times New Roman" w:hAnsi="Times New Roman" w:cs="Times New Roman"/>
                <w:sz w:val="24"/>
                <w:szCs w:val="24"/>
              </w:rPr>
              <w:t>Ensure juvenile justice involved youth have</w:t>
            </w:r>
            <w:r w:rsidR="003E5C72">
              <w:rPr>
                <w:rFonts w:ascii="Times New Roman" w:hAnsi="Times New Roman" w:cs="Times New Roman"/>
                <w:sz w:val="24"/>
                <w:szCs w:val="24"/>
              </w:rPr>
              <w:t xml:space="preserve"> a</w:t>
            </w:r>
            <w:r w:rsidR="00485E6C" w:rsidRPr="00485E6C">
              <w:rPr>
                <w:rFonts w:ascii="Times New Roman" w:hAnsi="Times New Roman" w:cs="Times New Roman"/>
                <w:sz w:val="24"/>
                <w:szCs w:val="24"/>
              </w:rPr>
              <w:t>ccess to DCF’s broad array of services through wrap-around funding for unique service expenditures</w:t>
            </w:r>
          </w:p>
          <w:p w:rsidR="00485E6C" w:rsidRPr="00485E6C" w:rsidRDefault="00485E6C" w:rsidP="00485E6C">
            <w:pPr>
              <w:rPr>
                <w:rFonts w:ascii="Times New Roman" w:hAnsi="Times New Roman" w:cs="Times New Roman"/>
                <w:sz w:val="24"/>
                <w:szCs w:val="24"/>
              </w:rPr>
            </w:pPr>
          </w:p>
        </w:tc>
        <w:tc>
          <w:tcPr>
            <w:tcW w:w="2700" w:type="dxa"/>
          </w:tcPr>
          <w:p w:rsidR="0001028E" w:rsidRDefault="0001028E" w:rsidP="00D64A22">
            <w:pPr>
              <w:rPr>
                <w:rFonts w:ascii="Times New Roman" w:hAnsi="Times New Roman" w:cs="Times New Roman"/>
                <w:sz w:val="24"/>
                <w:szCs w:val="24"/>
              </w:rPr>
            </w:pPr>
            <w:r>
              <w:rPr>
                <w:rFonts w:ascii="Times New Roman" w:hAnsi="Times New Roman" w:cs="Times New Roman"/>
                <w:sz w:val="24"/>
                <w:szCs w:val="24"/>
              </w:rPr>
              <w:t>Division of Clinical and Community Consultation and Support;</w:t>
            </w:r>
          </w:p>
          <w:p w:rsidR="00485E6C" w:rsidRDefault="00613ABD" w:rsidP="00D64A22">
            <w:pPr>
              <w:rPr>
                <w:rFonts w:ascii="Times New Roman" w:hAnsi="Times New Roman" w:cs="Times New Roman"/>
                <w:sz w:val="24"/>
                <w:szCs w:val="24"/>
              </w:rPr>
            </w:pPr>
            <w:r>
              <w:rPr>
                <w:rFonts w:ascii="Times New Roman" w:hAnsi="Times New Roman" w:cs="Times New Roman"/>
                <w:sz w:val="24"/>
                <w:szCs w:val="24"/>
              </w:rPr>
              <w:t>Fiscal Services Division</w:t>
            </w:r>
            <w:r w:rsidR="008A13EE">
              <w:rPr>
                <w:rFonts w:ascii="Times New Roman" w:hAnsi="Times New Roman" w:cs="Times New Roman"/>
                <w:sz w:val="24"/>
                <w:szCs w:val="24"/>
              </w:rPr>
              <w:t>; Regional Systems Program Directors</w:t>
            </w:r>
          </w:p>
        </w:tc>
        <w:tc>
          <w:tcPr>
            <w:tcW w:w="2070" w:type="dxa"/>
          </w:tcPr>
          <w:p w:rsidR="00485E6C" w:rsidRDefault="00485E6C" w:rsidP="00D64A22">
            <w:pPr>
              <w:rPr>
                <w:rFonts w:ascii="Times New Roman" w:hAnsi="Times New Roman" w:cs="Times New Roman"/>
                <w:sz w:val="24"/>
                <w:szCs w:val="24"/>
              </w:rPr>
            </w:pPr>
          </w:p>
        </w:tc>
      </w:tr>
      <w:tr w:rsidR="00176A68" w:rsidTr="003E5C72">
        <w:tc>
          <w:tcPr>
            <w:tcW w:w="4495" w:type="dxa"/>
          </w:tcPr>
          <w:p w:rsidR="00176A68" w:rsidRDefault="00176A68" w:rsidP="00485E6C">
            <w:pPr>
              <w:rPr>
                <w:rFonts w:ascii="Times New Roman" w:hAnsi="Times New Roman" w:cs="Times New Roman"/>
                <w:sz w:val="24"/>
                <w:szCs w:val="24"/>
              </w:rPr>
            </w:pPr>
            <w:r>
              <w:rPr>
                <w:rFonts w:ascii="Times New Roman" w:hAnsi="Times New Roman" w:cs="Times New Roman"/>
                <w:sz w:val="24"/>
                <w:szCs w:val="24"/>
              </w:rPr>
              <w:t>Amend key juvenile justice contracts to allow services to remain in place after the end of delinquency commitment</w:t>
            </w:r>
            <w:r w:rsidR="00945424">
              <w:rPr>
                <w:rFonts w:ascii="Times New Roman" w:hAnsi="Times New Roman" w:cs="Times New Roman"/>
                <w:sz w:val="24"/>
                <w:szCs w:val="24"/>
              </w:rPr>
              <w:t xml:space="preserve"> within existing appropriations</w:t>
            </w:r>
          </w:p>
          <w:p w:rsidR="00176A68" w:rsidRPr="00485E6C" w:rsidRDefault="00176A68" w:rsidP="00485E6C">
            <w:pPr>
              <w:rPr>
                <w:rFonts w:ascii="Times New Roman" w:hAnsi="Times New Roman" w:cs="Times New Roman"/>
                <w:sz w:val="24"/>
                <w:szCs w:val="24"/>
              </w:rPr>
            </w:pPr>
          </w:p>
        </w:tc>
        <w:tc>
          <w:tcPr>
            <w:tcW w:w="2700" w:type="dxa"/>
          </w:tcPr>
          <w:p w:rsidR="00176A68" w:rsidRDefault="003E5C72" w:rsidP="00D64A22">
            <w:pPr>
              <w:rPr>
                <w:rFonts w:ascii="Times New Roman" w:hAnsi="Times New Roman" w:cs="Times New Roman"/>
                <w:sz w:val="24"/>
                <w:szCs w:val="24"/>
              </w:rPr>
            </w:pPr>
            <w:r>
              <w:rPr>
                <w:rFonts w:ascii="Times New Roman" w:hAnsi="Times New Roman" w:cs="Times New Roman"/>
                <w:sz w:val="24"/>
                <w:szCs w:val="24"/>
              </w:rPr>
              <w:t>Division of Adolescent &amp; Juvenile Services;</w:t>
            </w:r>
          </w:p>
          <w:p w:rsidR="003E5C72" w:rsidRDefault="00841C78" w:rsidP="00D64A22">
            <w:pPr>
              <w:rPr>
                <w:rFonts w:ascii="Times New Roman" w:hAnsi="Times New Roman" w:cs="Times New Roman"/>
                <w:sz w:val="24"/>
                <w:szCs w:val="24"/>
              </w:rPr>
            </w:pPr>
            <w:r>
              <w:rPr>
                <w:rFonts w:ascii="Times New Roman" w:hAnsi="Times New Roman" w:cs="Times New Roman"/>
                <w:sz w:val="24"/>
                <w:szCs w:val="24"/>
              </w:rPr>
              <w:t>Division of Grants and Contracts</w:t>
            </w:r>
          </w:p>
        </w:tc>
        <w:tc>
          <w:tcPr>
            <w:tcW w:w="2070" w:type="dxa"/>
          </w:tcPr>
          <w:p w:rsidR="00176A68" w:rsidRDefault="00176A68" w:rsidP="00D64A22">
            <w:pPr>
              <w:rPr>
                <w:rFonts w:ascii="Times New Roman" w:hAnsi="Times New Roman" w:cs="Times New Roman"/>
                <w:sz w:val="24"/>
                <w:szCs w:val="24"/>
              </w:rPr>
            </w:pPr>
          </w:p>
        </w:tc>
      </w:tr>
      <w:tr w:rsidR="00A04E85" w:rsidTr="003E5C72">
        <w:tc>
          <w:tcPr>
            <w:tcW w:w="4495" w:type="dxa"/>
          </w:tcPr>
          <w:p w:rsidR="00A04E85" w:rsidRDefault="00A04E85" w:rsidP="00485E6C">
            <w:pPr>
              <w:rPr>
                <w:rFonts w:ascii="Times New Roman" w:hAnsi="Times New Roman" w:cs="Times New Roman"/>
                <w:sz w:val="24"/>
                <w:szCs w:val="24"/>
              </w:rPr>
            </w:pPr>
            <w:r>
              <w:rPr>
                <w:rFonts w:ascii="Times New Roman" w:hAnsi="Times New Roman" w:cs="Times New Roman"/>
                <w:sz w:val="24"/>
                <w:szCs w:val="24"/>
              </w:rPr>
              <w:t>Develop an intensive wrap-around teaming process for young women who would otherwise be placed in secure confinement</w:t>
            </w:r>
          </w:p>
          <w:p w:rsidR="00A04E85" w:rsidRDefault="00A04E85" w:rsidP="00485E6C">
            <w:pPr>
              <w:rPr>
                <w:rFonts w:ascii="Times New Roman" w:hAnsi="Times New Roman" w:cs="Times New Roman"/>
                <w:sz w:val="24"/>
                <w:szCs w:val="24"/>
              </w:rPr>
            </w:pPr>
          </w:p>
        </w:tc>
        <w:tc>
          <w:tcPr>
            <w:tcW w:w="2700" w:type="dxa"/>
          </w:tcPr>
          <w:p w:rsidR="00A04E85" w:rsidRDefault="00841C78" w:rsidP="00D64A22">
            <w:pPr>
              <w:rPr>
                <w:rFonts w:ascii="Times New Roman" w:hAnsi="Times New Roman" w:cs="Times New Roman"/>
                <w:sz w:val="24"/>
                <w:szCs w:val="24"/>
              </w:rPr>
            </w:pPr>
            <w:r>
              <w:rPr>
                <w:rFonts w:ascii="Times New Roman" w:hAnsi="Times New Roman" w:cs="Times New Roman"/>
                <w:sz w:val="24"/>
                <w:szCs w:val="24"/>
              </w:rPr>
              <w:t>Division of Adolescent &amp; Juvenile Services (wit</w:t>
            </w:r>
            <w:r w:rsidR="00E916CA">
              <w:rPr>
                <w:rFonts w:ascii="Times New Roman" w:hAnsi="Times New Roman" w:cs="Times New Roman"/>
                <w:sz w:val="24"/>
                <w:szCs w:val="24"/>
              </w:rPr>
              <w:t>h consultation from national experts</w:t>
            </w:r>
            <w:r>
              <w:rPr>
                <w:rFonts w:ascii="Times New Roman" w:hAnsi="Times New Roman" w:cs="Times New Roman"/>
                <w:sz w:val="24"/>
                <w:szCs w:val="24"/>
              </w:rPr>
              <w:t>)</w:t>
            </w:r>
          </w:p>
        </w:tc>
        <w:tc>
          <w:tcPr>
            <w:tcW w:w="2070" w:type="dxa"/>
          </w:tcPr>
          <w:p w:rsidR="00A04E85" w:rsidRDefault="00A04E85" w:rsidP="00D64A22">
            <w:pPr>
              <w:rPr>
                <w:rFonts w:ascii="Times New Roman" w:hAnsi="Times New Roman" w:cs="Times New Roman"/>
                <w:sz w:val="24"/>
                <w:szCs w:val="24"/>
              </w:rPr>
            </w:pPr>
          </w:p>
        </w:tc>
      </w:tr>
    </w:tbl>
    <w:p w:rsidR="00F459F3" w:rsidRPr="00ED6F97" w:rsidRDefault="00F459F3" w:rsidP="00C71731">
      <w:pPr>
        <w:spacing w:after="0"/>
        <w:rPr>
          <w:rFonts w:ascii="Times New Roman" w:hAnsi="Times New Roman" w:cs="Times New Roman"/>
          <w:sz w:val="24"/>
          <w:szCs w:val="24"/>
        </w:rPr>
      </w:pPr>
    </w:p>
    <w:p w:rsidR="00485E6C" w:rsidRDefault="00485E6C" w:rsidP="00C71731">
      <w:pPr>
        <w:pStyle w:val="ListParagraph"/>
        <w:spacing w:after="0"/>
        <w:ind w:left="2160"/>
        <w:rPr>
          <w:rFonts w:ascii="Times New Roman" w:hAnsi="Times New Roman" w:cs="Times New Roman"/>
          <w:sz w:val="24"/>
          <w:szCs w:val="24"/>
        </w:rPr>
      </w:pPr>
    </w:p>
    <w:p w:rsidR="008A13EE" w:rsidRDefault="008A13EE" w:rsidP="00C71731">
      <w:pPr>
        <w:pStyle w:val="ListParagraph"/>
        <w:spacing w:after="0"/>
        <w:ind w:left="2160"/>
        <w:rPr>
          <w:rFonts w:ascii="Times New Roman" w:hAnsi="Times New Roman" w:cs="Times New Roman"/>
          <w:sz w:val="24"/>
          <w:szCs w:val="24"/>
        </w:rPr>
      </w:pPr>
    </w:p>
    <w:p w:rsidR="008A13EE" w:rsidRDefault="008A13EE" w:rsidP="00C71731">
      <w:pPr>
        <w:pStyle w:val="ListParagraph"/>
        <w:spacing w:after="0"/>
        <w:ind w:left="2160"/>
        <w:rPr>
          <w:rFonts w:ascii="Times New Roman" w:hAnsi="Times New Roman" w:cs="Times New Roman"/>
          <w:sz w:val="24"/>
          <w:szCs w:val="24"/>
        </w:rPr>
      </w:pPr>
    </w:p>
    <w:p w:rsidR="008A13EE" w:rsidRDefault="008A13EE" w:rsidP="00C71731">
      <w:pPr>
        <w:pStyle w:val="ListParagraph"/>
        <w:spacing w:after="0"/>
        <w:ind w:left="2160"/>
        <w:rPr>
          <w:rFonts w:ascii="Times New Roman" w:hAnsi="Times New Roman" w:cs="Times New Roman"/>
          <w:sz w:val="24"/>
          <w:szCs w:val="24"/>
        </w:rPr>
      </w:pPr>
    </w:p>
    <w:p w:rsidR="008A13EE" w:rsidRDefault="008A13EE" w:rsidP="00C71731">
      <w:pPr>
        <w:pStyle w:val="ListParagraph"/>
        <w:spacing w:after="0"/>
        <w:ind w:left="2160"/>
        <w:rPr>
          <w:rFonts w:ascii="Times New Roman" w:hAnsi="Times New Roman" w:cs="Times New Roman"/>
          <w:sz w:val="24"/>
          <w:szCs w:val="24"/>
        </w:rPr>
      </w:pPr>
    </w:p>
    <w:p w:rsidR="00485E6C" w:rsidRDefault="00485E6C" w:rsidP="00C71731">
      <w:pPr>
        <w:pStyle w:val="ListParagraph"/>
        <w:spacing w:after="0"/>
        <w:ind w:left="2160"/>
        <w:rPr>
          <w:rFonts w:ascii="Times New Roman" w:hAnsi="Times New Roman" w:cs="Times New Roman"/>
          <w:sz w:val="24"/>
          <w:szCs w:val="24"/>
        </w:rPr>
      </w:pPr>
    </w:p>
    <w:p w:rsidR="00176A68" w:rsidRDefault="00176A68" w:rsidP="00945424">
      <w:pPr>
        <w:spacing w:after="0"/>
        <w:rPr>
          <w:rFonts w:ascii="Times New Roman" w:hAnsi="Times New Roman" w:cs="Times New Roman"/>
          <w:sz w:val="24"/>
          <w:szCs w:val="24"/>
        </w:rPr>
      </w:pPr>
    </w:p>
    <w:p w:rsidR="004B1BEC" w:rsidRDefault="004B1BEC" w:rsidP="00945424">
      <w:pPr>
        <w:spacing w:after="0"/>
        <w:rPr>
          <w:rFonts w:ascii="Times New Roman" w:hAnsi="Times New Roman" w:cs="Times New Roman"/>
          <w:sz w:val="24"/>
          <w:szCs w:val="24"/>
        </w:rPr>
      </w:pPr>
    </w:p>
    <w:p w:rsidR="004B1BEC" w:rsidRDefault="004B1BEC" w:rsidP="00945424">
      <w:pPr>
        <w:spacing w:after="0"/>
        <w:rPr>
          <w:rFonts w:ascii="Times New Roman" w:hAnsi="Times New Roman" w:cs="Times New Roman"/>
          <w:sz w:val="24"/>
          <w:szCs w:val="24"/>
        </w:rPr>
      </w:pPr>
    </w:p>
    <w:p w:rsidR="008A13EE" w:rsidRPr="00945424" w:rsidRDefault="008A13EE" w:rsidP="00945424">
      <w:pPr>
        <w:spacing w:after="0"/>
        <w:rPr>
          <w:rFonts w:ascii="Times New Roman" w:hAnsi="Times New Roman" w:cs="Times New Roman"/>
          <w:sz w:val="24"/>
          <w:szCs w:val="24"/>
        </w:rPr>
      </w:pPr>
    </w:p>
    <w:p w:rsidR="00C218BF" w:rsidRPr="003F08FE" w:rsidRDefault="00613ABD" w:rsidP="00C218BF">
      <w:pPr>
        <w:spacing w:after="0"/>
        <w:rPr>
          <w:rFonts w:ascii="Times New Roman" w:hAnsi="Times New Roman" w:cs="Times New Roman"/>
          <w:sz w:val="24"/>
          <w:szCs w:val="24"/>
          <w:u w:val="single"/>
        </w:rPr>
      </w:pPr>
      <w:r>
        <w:rPr>
          <w:rFonts w:ascii="Times New Roman" w:hAnsi="Times New Roman" w:cs="Times New Roman"/>
          <w:sz w:val="24"/>
          <w:szCs w:val="24"/>
          <w:u w:val="single"/>
        </w:rPr>
        <w:t>Closure G</w:t>
      </w:r>
      <w:r w:rsidR="003F08FE">
        <w:rPr>
          <w:rFonts w:ascii="Times New Roman" w:hAnsi="Times New Roman" w:cs="Times New Roman"/>
          <w:sz w:val="24"/>
          <w:szCs w:val="24"/>
          <w:u w:val="single"/>
        </w:rPr>
        <w:t>oals</w:t>
      </w:r>
    </w:p>
    <w:p w:rsidR="00C218BF" w:rsidRPr="00C218BF" w:rsidRDefault="00C218BF" w:rsidP="00C218BF">
      <w:pPr>
        <w:spacing w:after="0"/>
        <w:rPr>
          <w:rFonts w:ascii="Times New Roman" w:hAnsi="Times New Roman" w:cs="Times New Roman"/>
          <w:sz w:val="24"/>
          <w:szCs w:val="24"/>
        </w:rPr>
      </w:pPr>
    </w:p>
    <w:tbl>
      <w:tblPr>
        <w:tblStyle w:val="TableGrid"/>
        <w:tblW w:w="9175" w:type="dxa"/>
        <w:tblLook w:val="04A0" w:firstRow="1" w:lastRow="0" w:firstColumn="1" w:lastColumn="0" w:noHBand="0" w:noVBand="1"/>
      </w:tblPr>
      <w:tblGrid>
        <w:gridCol w:w="4495"/>
        <w:gridCol w:w="2520"/>
        <w:gridCol w:w="2160"/>
      </w:tblGrid>
      <w:tr w:rsidR="00485E6C" w:rsidRPr="00C218BF" w:rsidTr="00D64A22">
        <w:tc>
          <w:tcPr>
            <w:tcW w:w="9175" w:type="dxa"/>
            <w:gridSpan w:val="3"/>
            <w:shd w:val="clear" w:color="auto" w:fill="BFBFBF" w:themeFill="background1" w:themeFillShade="BF"/>
          </w:tcPr>
          <w:p w:rsidR="00485E6C" w:rsidRPr="00C218BF" w:rsidRDefault="00C218BF" w:rsidP="00D64A22">
            <w:pPr>
              <w:rPr>
                <w:rFonts w:ascii="Times New Roman" w:hAnsi="Times New Roman" w:cs="Times New Roman"/>
                <w:b/>
                <w:sz w:val="24"/>
                <w:szCs w:val="24"/>
              </w:rPr>
            </w:pPr>
            <w:r w:rsidRPr="00C218BF">
              <w:rPr>
                <w:rFonts w:ascii="Times New Roman" w:hAnsi="Times New Roman" w:cs="Times New Roman"/>
                <w:b/>
                <w:sz w:val="24"/>
                <w:szCs w:val="24"/>
              </w:rPr>
              <w:t>GOAL</w:t>
            </w:r>
            <w:r w:rsidR="00534E22">
              <w:rPr>
                <w:rFonts w:ascii="Times New Roman" w:hAnsi="Times New Roman" w:cs="Times New Roman"/>
                <w:b/>
                <w:sz w:val="24"/>
                <w:szCs w:val="24"/>
              </w:rPr>
              <w:t xml:space="preserve"> 4</w:t>
            </w:r>
            <w:r w:rsidR="00485E6C" w:rsidRPr="00C218BF">
              <w:rPr>
                <w:rFonts w:ascii="Times New Roman" w:hAnsi="Times New Roman" w:cs="Times New Roman"/>
                <w:b/>
                <w:sz w:val="24"/>
                <w:szCs w:val="24"/>
              </w:rPr>
              <w:t xml:space="preserve">:  </w:t>
            </w:r>
            <w:r w:rsidR="004076BE">
              <w:rPr>
                <w:rFonts w:ascii="Times New Roman" w:hAnsi="Times New Roman" w:cs="Times New Roman"/>
                <w:b/>
                <w:sz w:val="24"/>
                <w:szCs w:val="24"/>
              </w:rPr>
              <w:t>Right-size the Connecticut Juvenile Training School</w:t>
            </w:r>
          </w:p>
          <w:p w:rsidR="00176A68" w:rsidRPr="00C218BF" w:rsidRDefault="00176A68" w:rsidP="00D64A22">
            <w:pPr>
              <w:rPr>
                <w:rFonts w:ascii="Times New Roman" w:hAnsi="Times New Roman" w:cs="Times New Roman"/>
                <w:b/>
                <w:sz w:val="24"/>
                <w:szCs w:val="24"/>
              </w:rPr>
            </w:pPr>
          </w:p>
        </w:tc>
      </w:tr>
      <w:tr w:rsidR="00485E6C" w:rsidRPr="000C18AB" w:rsidTr="00D64A22">
        <w:tc>
          <w:tcPr>
            <w:tcW w:w="4495" w:type="dxa"/>
          </w:tcPr>
          <w:p w:rsidR="00485E6C" w:rsidRPr="000C18AB" w:rsidRDefault="00485E6C" w:rsidP="00D64A22">
            <w:pPr>
              <w:rPr>
                <w:rFonts w:ascii="Times New Roman" w:hAnsi="Times New Roman" w:cs="Times New Roman"/>
                <w:b/>
                <w:sz w:val="24"/>
                <w:szCs w:val="24"/>
              </w:rPr>
            </w:pPr>
            <w:r w:rsidRPr="000C18AB">
              <w:rPr>
                <w:rFonts w:ascii="Times New Roman" w:hAnsi="Times New Roman" w:cs="Times New Roman"/>
                <w:b/>
                <w:sz w:val="24"/>
                <w:szCs w:val="24"/>
              </w:rPr>
              <w:t>Action Step</w:t>
            </w:r>
          </w:p>
        </w:tc>
        <w:tc>
          <w:tcPr>
            <w:tcW w:w="2520" w:type="dxa"/>
          </w:tcPr>
          <w:p w:rsidR="00485E6C" w:rsidRPr="000C18AB" w:rsidRDefault="00485E6C" w:rsidP="00D64A22">
            <w:pPr>
              <w:rPr>
                <w:rFonts w:ascii="Times New Roman" w:hAnsi="Times New Roman" w:cs="Times New Roman"/>
                <w:b/>
                <w:sz w:val="24"/>
                <w:szCs w:val="24"/>
              </w:rPr>
            </w:pPr>
            <w:r w:rsidRPr="000C18AB">
              <w:rPr>
                <w:rFonts w:ascii="Times New Roman" w:hAnsi="Times New Roman" w:cs="Times New Roman"/>
                <w:b/>
                <w:sz w:val="24"/>
                <w:szCs w:val="24"/>
              </w:rPr>
              <w:t>Responsible</w:t>
            </w:r>
          </w:p>
        </w:tc>
        <w:tc>
          <w:tcPr>
            <w:tcW w:w="2160" w:type="dxa"/>
          </w:tcPr>
          <w:p w:rsidR="00485E6C" w:rsidRPr="000C18AB" w:rsidRDefault="00485E6C" w:rsidP="00D64A22">
            <w:pPr>
              <w:rPr>
                <w:rFonts w:ascii="Times New Roman" w:hAnsi="Times New Roman" w:cs="Times New Roman"/>
                <w:b/>
                <w:sz w:val="24"/>
                <w:szCs w:val="24"/>
              </w:rPr>
            </w:pPr>
            <w:r w:rsidRPr="000C18AB">
              <w:rPr>
                <w:rFonts w:ascii="Times New Roman" w:hAnsi="Times New Roman" w:cs="Times New Roman"/>
                <w:b/>
                <w:sz w:val="24"/>
                <w:szCs w:val="24"/>
              </w:rPr>
              <w:t>Timeframe</w:t>
            </w:r>
          </w:p>
        </w:tc>
      </w:tr>
      <w:tr w:rsidR="00485E6C" w:rsidTr="00D64A22">
        <w:tc>
          <w:tcPr>
            <w:tcW w:w="4495" w:type="dxa"/>
          </w:tcPr>
          <w:p w:rsidR="00C218BF" w:rsidRPr="00C218BF" w:rsidRDefault="00C218BF" w:rsidP="00C218BF">
            <w:pPr>
              <w:rPr>
                <w:rFonts w:ascii="Times New Roman" w:hAnsi="Times New Roman" w:cs="Times New Roman"/>
                <w:sz w:val="24"/>
                <w:szCs w:val="24"/>
              </w:rPr>
            </w:pPr>
            <w:r w:rsidRPr="00C218BF">
              <w:rPr>
                <w:rFonts w:ascii="Times New Roman" w:hAnsi="Times New Roman" w:cs="Times New Roman"/>
                <w:sz w:val="24"/>
                <w:szCs w:val="24"/>
              </w:rPr>
              <w:t>Right-size</w:t>
            </w:r>
            <w:r w:rsidR="00545FC9">
              <w:rPr>
                <w:rFonts w:ascii="Times New Roman" w:hAnsi="Times New Roman" w:cs="Times New Roman"/>
                <w:sz w:val="24"/>
                <w:szCs w:val="24"/>
              </w:rPr>
              <w:t xml:space="preserve"> staffing for smaller census</w:t>
            </w:r>
          </w:p>
          <w:p w:rsidR="00485E6C" w:rsidRDefault="00485E6C" w:rsidP="00D64A22">
            <w:pPr>
              <w:rPr>
                <w:rFonts w:ascii="Times New Roman" w:hAnsi="Times New Roman" w:cs="Times New Roman"/>
                <w:sz w:val="24"/>
                <w:szCs w:val="24"/>
              </w:rPr>
            </w:pPr>
          </w:p>
        </w:tc>
        <w:tc>
          <w:tcPr>
            <w:tcW w:w="2520" w:type="dxa"/>
          </w:tcPr>
          <w:p w:rsidR="00485E6C" w:rsidRDefault="003F31D3" w:rsidP="00D64A22">
            <w:pPr>
              <w:rPr>
                <w:rFonts w:ascii="Times New Roman" w:hAnsi="Times New Roman" w:cs="Times New Roman"/>
                <w:sz w:val="24"/>
                <w:szCs w:val="24"/>
              </w:rPr>
            </w:pPr>
            <w:r>
              <w:rPr>
                <w:rFonts w:ascii="Times New Roman" w:hAnsi="Times New Roman" w:cs="Times New Roman"/>
                <w:sz w:val="24"/>
                <w:szCs w:val="24"/>
              </w:rPr>
              <w:t>Human Resources</w:t>
            </w:r>
            <w:r w:rsidR="005B7295">
              <w:rPr>
                <w:rFonts w:ascii="Times New Roman" w:hAnsi="Times New Roman" w:cs="Times New Roman"/>
                <w:sz w:val="24"/>
                <w:szCs w:val="24"/>
              </w:rPr>
              <w:t xml:space="preserve"> Division;</w:t>
            </w:r>
          </w:p>
          <w:p w:rsidR="003F31D3" w:rsidRDefault="003F31D3" w:rsidP="00D64A2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485E6C" w:rsidRDefault="003F31D3" w:rsidP="00D64A22">
            <w:pPr>
              <w:rPr>
                <w:rFonts w:ascii="Times New Roman" w:hAnsi="Times New Roman" w:cs="Times New Roman"/>
                <w:sz w:val="24"/>
                <w:szCs w:val="24"/>
              </w:rPr>
            </w:pPr>
            <w:r>
              <w:rPr>
                <w:rFonts w:ascii="Times New Roman" w:hAnsi="Times New Roman" w:cs="Times New Roman"/>
                <w:sz w:val="24"/>
                <w:szCs w:val="24"/>
              </w:rPr>
              <w:t>Complete</w:t>
            </w:r>
          </w:p>
        </w:tc>
      </w:tr>
      <w:tr w:rsidR="00485E6C" w:rsidTr="00D64A22">
        <w:tc>
          <w:tcPr>
            <w:tcW w:w="4495" w:type="dxa"/>
          </w:tcPr>
          <w:p w:rsidR="00C218BF" w:rsidRPr="00C218BF" w:rsidRDefault="00C218BF" w:rsidP="00C218BF">
            <w:pPr>
              <w:rPr>
                <w:rFonts w:ascii="Times New Roman" w:hAnsi="Times New Roman" w:cs="Times New Roman"/>
                <w:sz w:val="24"/>
                <w:szCs w:val="24"/>
              </w:rPr>
            </w:pPr>
            <w:r w:rsidRPr="00C218BF">
              <w:rPr>
                <w:rFonts w:ascii="Times New Roman" w:hAnsi="Times New Roman" w:cs="Times New Roman"/>
                <w:sz w:val="24"/>
                <w:szCs w:val="24"/>
              </w:rPr>
              <w:t>Consolidate CJTS programming to three units</w:t>
            </w:r>
          </w:p>
          <w:p w:rsidR="00485E6C" w:rsidRPr="000C18AB" w:rsidRDefault="00485E6C" w:rsidP="00D64A22">
            <w:pPr>
              <w:rPr>
                <w:rFonts w:ascii="Times New Roman" w:hAnsi="Times New Roman" w:cs="Times New Roman"/>
                <w:sz w:val="24"/>
                <w:szCs w:val="24"/>
              </w:rPr>
            </w:pPr>
          </w:p>
        </w:tc>
        <w:tc>
          <w:tcPr>
            <w:tcW w:w="2520" w:type="dxa"/>
          </w:tcPr>
          <w:p w:rsidR="00485E6C" w:rsidRDefault="003F31D3" w:rsidP="00D64A2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485E6C" w:rsidRDefault="003F31D3" w:rsidP="00D64A22">
            <w:pPr>
              <w:rPr>
                <w:rFonts w:ascii="Times New Roman" w:hAnsi="Times New Roman" w:cs="Times New Roman"/>
                <w:sz w:val="24"/>
                <w:szCs w:val="24"/>
              </w:rPr>
            </w:pPr>
            <w:r>
              <w:rPr>
                <w:rFonts w:ascii="Times New Roman" w:hAnsi="Times New Roman" w:cs="Times New Roman"/>
                <w:sz w:val="24"/>
                <w:szCs w:val="24"/>
              </w:rPr>
              <w:t>Complete</w:t>
            </w:r>
          </w:p>
        </w:tc>
      </w:tr>
    </w:tbl>
    <w:p w:rsidR="00485E6C" w:rsidRPr="00ED6F97" w:rsidRDefault="00485E6C" w:rsidP="00C71731">
      <w:pPr>
        <w:pStyle w:val="ListParagraph"/>
        <w:spacing w:after="0"/>
        <w:ind w:left="2160"/>
        <w:rPr>
          <w:rFonts w:ascii="Times New Roman" w:hAnsi="Times New Roman" w:cs="Times New Roman"/>
          <w:sz w:val="24"/>
          <w:szCs w:val="24"/>
        </w:rPr>
      </w:pPr>
    </w:p>
    <w:p w:rsidR="00967209" w:rsidRPr="00ED6F97" w:rsidRDefault="00967209" w:rsidP="00C71731">
      <w:pPr>
        <w:pStyle w:val="ListParagraph"/>
        <w:spacing w:after="0"/>
        <w:ind w:left="2160"/>
        <w:rPr>
          <w:rFonts w:ascii="Times New Roman" w:hAnsi="Times New Roman" w:cs="Times New Roman"/>
          <w:sz w:val="24"/>
          <w:szCs w:val="24"/>
        </w:rPr>
      </w:pPr>
    </w:p>
    <w:tbl>
      <w:tblPr>
        <w:tblStyle w:val="TableGrid"/>
        <w:tblW w:w="9175" w:type="dxa"/>
        <w:tblLook w:val="04A0" w:firstRow="1" w:lastRow="0" w:firstColumn="1" w:lastColumn="0" w:noHBand="0" w:noVBand="1"/>
      </w:tblPr>
      <w:tblGrid>
        <w:gridCol w:w="4495"/>
        <w:gridCol w:w="2520"/>
        <w:gridCol w:w="2160"/>
      </w:tblGrid>
      <w:tr w:rsidR="00C218BF" w:rsidTr="00D64A22">
        <w:tc>
          <w:tcPr>
            <w:tcW w:w="9175" w:type="dxa"/>
            <w:gridSpan w:val="3"/>
            <w:shd w:val="clear" w:color="auto" w:fill="BFBFBF" w:themeFill="background1" w:themeFillShade="BF"/>
          </w:tcPr>
          <w:p w:rsidR="00C218BF"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GOAL</w:t>
            </w:r>
            <w:r w:rsidR="00534E22">
              <w:rPr>
                <w:rFonts w:ascii="Times New Roman" w:hAnsi="Times New Roman" w:cs="Times New Roman"/>
                <w:b/>
                <w:sz w:val="24"/>
                <w:szCs w:val="24"/>
              </w:rPr>
              <w:t xml:space="preserve"> 5</w:t>
            </w:r>
            <w:r>
              <w:rPr>
                <w:rFonts w:ascii="Times New Roman" w:hAnsi="Times New Roman" w:cs="Times New Roman"/>
                <w:sz w:val="24"/>
                <w:szCs w:val="24"/>
              </w:rPr>
              <w:t xml:space="preserve">:  </w:t>
            </w:r>
            <w:r w:rsidRPr="00C218BF">
              <w:rPr>
                <w:rFonts w:ascii="Times New Roman" w:hAnsi="Times New Roman" w:cs="Times New Roman"/>
                <w:b/>
                <w:sz w:val="24"/>
                <w:szCs w:val="24"/>
              </w:rPr>
              <w:t>Redesign CJTS programming</w:t>
            </w:r>
          </w:p>
          <w:p w:rsidR="008D1341" w:rsidRDefault="008D1341" w:rsidP="00D64A22">
            <w:pPr>
              <w:rPr>
                <w:rFonts w:ascii="Times New Roman" w:hAnsi="Times New Roman" w:cs="Times New Roman"/>
                <w:sz w:val="24"/>
                <w:szCs w:val="24"/>
              </w:rPr>
            </w:pPr>
          </w:p>
        </w:tc>
      </w:tr>
      <w:tr w:rsidR="00C218BF" w:rsidRPr="000C18AB" w:rsidTr="00D64A22">
        <w:tc>
          <w:tcPr>
            <w:tcW w:w="4495" w:type="dxa"/>
          </w:tcPr>
          <w:p w:rsidR="00C218BF" w:rsidRPr="000C18AB"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Action Step</w:t>
            </w:r>
          </w:p>
        </w:tc>
        <w:tc>
          <w:tcPr>
            <w:tcW w:w="2520" w:type="dxa"/>
          </w:tcPr>
          <w:p w:rsidR="00C218BF" w:rsidRPr="000C18AB"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Responsible</w:t>
            </w:r>
          </w:p>
        </w:tc>
        <w:tc>
          <w:tcPr>
            <w:tcW w:w="2160" w:type="dxa"/>
          </w:tcPr>
          <w:p w:rsidR="00C218BF" w:rsidRPr="000C18AB"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Timeframe</w:t>
            </w:r>
          </w:p>
        </w:tc>
      </w:tr>
      <w:tr w:rsidR="00C218BF" w:rsidTr="00D64A22">
        <w:tc>
          <w:tcPr>
            <w:tcW w:w="4495" w:type="dxa"/>
          </w:tcPr>
          <w:p w:rsidR="00A04E85" w:rsidRPr="00A04E85" w:rsidRDefault="005B7295" w:rsidP="00A04E85">
            <w:pPr>
              <w:rPr>
                <w:rFonts w:ascii="Times New Roman" w:hAnsi="Times New Roman" w:cs="Times New Roman"/>
                <w:sz w:val="24"/>
                <w:szCs w:val="24"/>
              </w:rPr>
            </w:pPr>
            <w:r>
              <w:rPr>
                <w:rFonts w:ascii="Times New Roman" w:hAnsi="Times New Roman" w:cs="Times New Roman"/>
                <w:sz w:val="24"/>
                <w:szCs w:val="24"/>
              </w:rPr>
              <w:t>Ensure b</w:t>
            </w:r>
            <w:r w:rsidR="00A04E85" w:rsidRPr="00A04E85">
              <w:rPr>
                <w:rFonts w:ascii="Times New Roman" w:hAnsi="Times New Roman" w:cs="Times New Roman"/>
                <w:sz w:val="24"/>
                <w:szCs w:val="24"/>
              </w:rPr>
              <w:t>et</w:t>
            </w:r>
            <w:r w:rsidR="008E07A1">
              <w:rPr>
                <w:rFonts w:ascii="Times New Roman" w:hAnsi="Times New Roman" w:cs="Times New Roman"/>
                <w:sz w:val="24"/>
                <w:szCs w:val="24"/>
              </w:rPr>
              <w:t xml:space="preserve">ter integration of facility, </w:t>
            </w:r>
            <w:r w:rsidR="00A04E85" w:rsidRPr="00A04E85">
              <w:rPr>
                <w:rFonts w:ascii="Times New Roman" w:hAnsi="Times New Roman" w:cs="Times New Roman"/>
                <w:sz w:val="24"/>
                <w:szCs w:val="24"/>
              </w:rPr>
              <w:t xml:space="preserve">regional </w:t>
            </w:r>
            <w:r w:rsidR="008E07A1">
              <w:rPr>
                <w:rFonts w:ascii="Times New Roman" w:hAnsi="Times New Roman" w:cs="Times New Roman"/>
                <w:sz w:val="24"/>
                <w:szCs w:val="24"/>
              </w:rPr>
              <w:t xml:space="preserve">and service provider </w:t>
            </w:r>
            <w:r w:rsidR="00A04E85" w:rsidRPr="00A04E85">
              <w:rPr>
                <w:rFonts w:ascii="Times New Roman" w:hAnsi="Times New Roman" w:cs="Times New Roman"/>
                <w:sz w:val="24"/>
                <w:szCs w:val="24"/>
              </w:rPr>
              <w:t>treatment planning</w:t>
            </w:r>
          </w:p>
          <w:p w:rsidR="00C218BF" w:rsidRDefault="00C218BF" w:rsidP="00D64A22">
            <w:pPr>
              <w:rPr>
                <w:rFonts w:ascii="Times New Roman" w:hAnsi="Times New Roman" w:cs="Times New Roman"/>
                <w:sz w:val="24"/>
                <w:szCs w:val="24"/>
              </w:rPr>
            </w:pPr>
          </w:p>
        </w:tc>
        <w:tc>
          <w:tcPr>
            <w:tcW w:w="2520" w:type="dxa"/>
          </w:tcPr>
          <w:p w:rsidR="00C218BF" w:rsidRDefault="005B7295" w:rsidP="00D64A22">
            <w:pPr>
              <w:rPr>
                <w:rFonts w:ascii="Times New Roman" w:hAnsi="Times New Roman" w:cs="Times New Roman"/>
                <w:sz w:val="24"/>
                <w:szCs w:val="24"/>
              </w:rPr>
            </w:pPr>
            <w:r>
              <w:rPr>
                <w:rFonts w:ascii="Times New Roman" w:hAnsi="Times New Roman" w:cs="Times New Roman"/>
                <w:sz w:val="24"/>
                <w:szCs w:val="24"/>
              </w:rPr>
              <w:t>CJTS Administration;</w:t>
            </w:r>
          </w:p>
          <w:p w:rsidR="005B7295" w:rsidRDefault="005B7295" w:rsidP="00D64A22">
            <w:pPr>
              <w:rPr>
                <w:rFonts w:ascii="Times New Roman" w:hAnsi="Times New Roman" w:cs="Times New Roman"/>
                <w:sz w:val="24"/>
                <w:szCs w:val="24"/>
              </w:rPr>
            </w:pPr>
            <w:r>
              <w:rPr>
                <w:rFonts w:ascii="Times New Roman" w:hAnsi="Times New Roman" w:cs="Times New Roman"/>
                <w:sz w:val="24"/>
                <w:szCs w:val="24"/>
              </w:rPr>
              <w:t>Division of Adolescent &amp; Juvenile Services</w:t>
            </w:r>
          </w:p>
        </w:tc>
        <w:tc>
          <w:tcPr>
            <w:tcW w:w="2160" w:type="dxa"/>
          </w:tcPr>
          <w:p w:rsidR="00C218BF" w:rsidRDefault="00C218BF" w:rsidP="00D64A22">
            <w:pPr>
              <w:rPr>
                <w:rFonts w:ascii="Times New Roman" w:hAnsi="Times New Roman" w:cs="Times New Roman"/>
                <w:sz w:val="24"/>
                <w:szCs w:val="24"/>
              </w:rPr>
            </w:pPr>
          </w:p>
        </w:tc>
      </w:tr>
      <w:tr w:rsidR="00C218BF" w:rsidTr="00D64A22">
        <w:tc>
          <w:tcPr>
            <w:tcW w:w="4495" w:type="dxa"/>
          </w:tcPr>
          <w:p w:rsidR="00A04E85" w:rsidRPr="00A04E85" w:rsidRDefault="005B7295" w:rsidP="00A04E85">
            <w:pPr>
              <w:rPr>
                <w:rFonts w:ascii="Times New Roman" w:hAnsi="Times New Roman" w:cs="Times New Roman"/>
                <w:sz w:val="24"/>
                <w:szCs w:val="24"/>
              </w:rPr>
            </w:pPr>
            <w:r>
              <w:rPr>
                <w:rFonts w:ascii="Times New Roman" w:hAnsi="Times New Roman" w:cs="Times New Roman"/>
                <w:sz w:val="24"/>
                <w:szCs w:val="24"/>
              </w:rPr>
              <w:t>Ensure b</w:t>
            </w:r>
            <w:r w:rsidR="008E07A1">
              <w:rPr>
                <w:rFonts w:ascii="Times New Roman" w:hAnsi="Times New Roman" w:cs="Times New Roman"/>
                <w:sz w:val="24"/>
                <w:szCs w:val="24"/>
              </w:rPr>
              <w:t>etter i</w:t>
            </w:r>
            <w:r w:rsidR="00A04E85" w:rsidRPr="00A04E85">
              <w:rPr>
                <w:rFonts w:ascii="Times New Roman" w:hAnsi="Times New Roman" w:cs="Times New Roman"/>
                <w:sz w:val="24"/>
                <w:szCs w:val="24"/>
              </w:rPr>
              <w:t>ntegration of provider</w:t>
            </w:r>
            <w:r w:rsidR="00E916CA">
              <w:rPr>
                <w:rFonts w:ascii="Times New Roman" w:hAnsi="Times New Roman" w:cs="Times New Roman"/>
                <w:sz w:val="24"/>
                <w:szCs w:val="24"/>
              </w:rPr>
              <w:t xml:space="preserve">s in the discharge planning </w:t>
            </w:r>
            <w:r w:rsidR="00A04E85" w:rsidRPr="00A04E85">
              <w:rPr>
                <w:rFonts w:ascii="Times New Roman" w:hAnsi="Times New Roman" w:cs="Times New Roman"/>
                <w:sz w:val="24"/>
                <w:szCs w:val="24"/>
              </w:rPr>
              <w:t>process</w:t>
            </w:r>
          </w:p>
          <w:p w:rsidR="00C218BF" w:rsidRPr="000C18AB" w:rsidRDefault="00C218BF" w:rsidP="00D64A22">
            <w:pPr>
              <w:rPr>
                <w:rFonts w:ascii="Times New Roman" w:hAnsi="Times New Roman" w:cs="Times New Roman"/>
                <w:sz w:val="24"/>
                <w:szCs w:val="24"/>
              </w:rPr>
            </w:pPr>
          </w:p>
        </w:tc>
        <w:tc>
          <w:tcPr>
            <w:tcW w:w="2520" w:type="dxa"/>
          </w:tcPr>
          <w:p w:rsidR="00C218BF" w:rsidRDefault="005B7295" w:rsidP="00D64A2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C218BF" w:rsidRDefault="00C218BF" w:rsidP="00D64A22">
            <w:pPr>
              <w:rPr>
                <w:rFonts w:ascii="Times New Roman" w:hAnsi="Times New Roman" w:cs="Times New Roman"/>
                <w:sz w:val="24"/>
                <w:szCs w:val="24"/>
              </w:rPr>
            </w:pPr>
          </w:p>
        </w:tc>
      </w:tr>
      <w:tr w:rsidR="00C218BF" w:rsidTr="00D64A22">
        <w:tc>
          <w:tcPr>
            <w:tcW w:w="4495" w:type="dxa"/>
          </w:tcPr>
          <w:p w:rsidR="00C218BF" w:rsidRDefault="008E07A1" w:rsidP="00D64A22">
            <w:pPr>
              <w:rPr>
                <w:rFonts w:ascii="Times New Roman" w:hAnsi="Times New Roman" w:cs="Times New Roman"/>
                <w:sz w:val="24"/>
                <w:szCs w:val="24"/>
              </w:rPr>
            </w:pPr>
            <w:r>
              <w:rPr>
                <w:rFonts w:ascii="Times New Roman" w:hAnsi="Times New Roman" w:cs="Times New Roman"/>
                <w:sz w:val="24"/>
                <w:szCs w:val="24"/>
              </w:rPr>
              <w:t xml:space="preserve">Change </w:t>
            </w:r>
            <w:r w:rsidR="003F08FE">
              <w:rPr>
                <w:rFonts w:ascii="Times New Roman" w:hAnsi="Times New Roman" w:cs="Times New Roman"/>
                <w:sz w:val="24"/>
                <w:szCs w:val="24"/>
              </w:rPr>
              <w:t>Youth Service Officer</w:t>
            </w:r>
            <w:r w:rsidR="00A04E85" w:rsidRPr="00ED6F97">
              <w:rPr>
                <w:rFonts w:ascii="Times New Roman" w:hAnsi="Times New Roman" w:cs="Times New Roman"/>
                <w:sz w:val="24"/>
                <w:szCs w:val="24"/>
              </w:rPr>
              <w:t xml:space="preserve"> job description</w:t>
            </w:r>
            <w:r>
              <w:rPr>
                <w:rFonts w:ascii="Times New Roman" w:hAnsi="Times New Roman" w:cs="Times New Roman"/>
                <w:sz w:val="24"/>
                <w:szCs w:val="24"/>
              </w:rPr>
              <w:t xml:space="preserve"> to promote more involvement in treatment planning </w:t>
            </w:r>
          </w:p>
          <w:p w:rsidR="00A04E85" w:rsidRPr="000C18AB" w:rsidRDefault="00A04E85" w:rsidP="00D64A22">
            <w:pPr>
              <w:rPr>
                <w:rFonts w:ascii="Times New Roman" w:hAnsi="Times New Roman" w:cs="Times New Roman"/>
                <w:sz w:val="24"/>
                <w:szCs w:val="24"/>
              </w:rPr>
            </w:pPr>
          </w:p>
        </w:tc>
        <w:tc>
          <w:tcPr>
            <w:tcW w:w="2520" w:type="dxa"/>
          </w:tcPr>
          <w:p w:rsidR="00C218BF" w:rsidRDefault="005B7295" w:rsidP="00D64A22">
            <w:pPr>
              <w:rPr>
                <w:rFonts w:ascii="Times New Roman" w:hAnsi="Times New Roman" w:cs="Times New Roman"/>
                <w:sz w:val="24"/>
                <w:szCs w:val="24"/>
              </w:rPr>
            </w:pPr>
            <w:r>
              <w:rPr>
                <w:rFonts w:ascii="Times New Roman" w:hAnsi="Times New Roman" w:cs="Times New Roman"/>
                <w:sz w:val="24"/>
                <w:szCs w:val="24"/>
              </w:rPr>
              <w:t>Human Services Division;</w:t>
            </w:r>
          </w:p>
          <w:p w:rsidR="005B7295" w:rsidRDefault="005B7295" w:rsidP="00D64A22">
            <w:pPr>
              <w:rPr>
                <w:rFonts w:ascii="Times New Roman" w:hAnsi="Times New Roman" w:cs="Times New Roman"/>
                <w:sz w:val="24"/>
                <w:szCs w:val="24"/>
              </w:rPr>
            </w:pPr>
            <w:r>
              <w:rPr>
                <w:rFonts w:ascii="Times New Roman" w:hAnsi="Times New Roman" w:cs="Times New Roman"/>
                <w:sz w:val="24"/>
                <w:szCs w:val="24"/>
              </w:rPr>
              <w:t>Department of Administrative Services</w:t>
            </w:r>
          </w:p>
        </w:tc>
        <w:tc>
          <w:tcPr>
            <w:tcW w:w="2160" w:type="dxa"/>
          </w:tcPr>
          <w:p w:rsidR="00C218BF" w:rsidRDefault="00C218BF" w:rsidP="00D64A22">
            <w:pPr>
              <w:rPr>
                <w:rFonts w:ascii="Times New Roman" w:hAnsi="Times New Roman" w:cs="Times New Roman"/>
                <w:sz w:val="24"/>
                <w:szCs w:val="24"/>
              </w:rPr>
            </w:pPr>
          </w:p>
        </w:tc>
      </w:tr>
      <w:tr w:rsidR="00C218BF" w:rsidTr="00D64A22">
        <w:tc>
          <w:tcPr>
            <w:tcW w:w="4495" w:type="dxa"/>
          </w:tcPr>
          <w:p w:rsidR="00A04E85" w:rsidRPr="00A04E85" w:rsidRDefault="00A04E85" w:rsidP="00A04E85">
            <w:pPr>
              <w:rPr>
                <w:rFonts w:ascii="Times New Roman" w:hAnsi="Times New Roman" w:cs="Times New Roman"/>
                <w:sz w:val="24"/>
                <w:szCs w:val="24"/>
              </w:rPr>
            </w:pPr>
            <w:r>
              <w:rPr>
                <w:rFonts w:ascii="Times New Roman" w:hAnsi="Times New Roman" w:cs="Times New Roman"/>
                <w:sz w:val="24"/>
                <w:szCs w:val="24"/>
              </w:rPr>
              <w:t>Expand e</w:t>
            </w:r>
            <w:r w:rsidRPr="00A04E85">
              <w:rPr>
                <w:rFonts w:ascii="Times New Roman" w:hAnsi="Times New Roman" w:cs="Times New Roman"/>
                <w:sz w:val="24"/>
                <w:szCs w:val="24"/>
              </w:rPr>
              <w:t>vening and weekend programming</w:t>
            </w:r>
          </w:p>
          <w:p w:rsidR="00C218BF" w:rsidRPr="000C18AB" w:rsidRDefault="00C218BF" w:rsidP="00D64A22">
            <w:pPr>
              <w:rPr>
                <w:rFonts w:ascii="Times New Roman" w:hAnsi="Times New Roman" w:cs="Times New Roman"/>
                <w:sz w:val="24"/>
                <w:szCs w:val="24"/>
              </w:rPr>
            </w:pPr>
          </w:p>
        </w:tc>
        <w:tc>
          <w:tcPr>
            <w:tcW w:w="2520" w:type="dxa"/>
          </w:tcPr>
          <w:p w:rsidR="00C218BF" w:rsidRDefault="005B7295" w:rsidP="00D64A2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C218BF" w:rsidRDefault="00C218BF" w:rsidP="00D64A22">
            <w:pPr>
              <w:rPr>
                <w:rFonts w:ascii="Times New Roman" w:hAnsi="Times New Roman" w:cs="Times New Roman"/>
                <w:sz w:val="24"/>
                <w:szCs w:val="24"/>
              </w:rPr>
            </w:pPr>
          </w:p>
        </w:tc>
      </w:tr>
      <w:tr w:rsidR="00C218BF" w:rsidTr="00D64A22">
        <w:tc>
          <w:tcPr>
            <w:tcW w:w="4495" w:type="dxa"/>
          </w:tcPr>
          <w:p w:rsidR="00A04E85" w:rsidRPr="00A04E85" w:rsidRDefault="00A04E85" w:rsidP="00A04E85">
            <w:pPr>
              <w:rPr>
                <w:rFonts w:ascii="Times New Roman" w:hAnsi="Times New Roman" w:cs="Times New Roman"/>
                <w:sz w:val="24"/>
                <w:szCs w:val="24"/>
              </w:rPr>
            </w:pPr>
            <w:r w:rsidRPr="00A04E85">
              <w:rPr>
                <w:rFonts w:ascii="Times New Roman" w:hAnsi="Times New Roman" w:cs="Times New Roman"/>
                <w:sz w:val="24"/>
                <w:szCs w:val="24"/>
              </w:rPr>
              <w:t>Provide transportation to facilitate family engagement and family therapy</w:t>
            </w:r>
          </w:p>
          <w:p w:rsidR="00C218BF" w:rsidRPr="000C18AB" w:rsidRDefault="00C218BF" w:rsidP="00D64A22">
            <w:pPr>
              <w:rPr>
                <w:rFonts w:ascii="Times New Roman" w:hAnsi="Times New Roman" w:cs="Times New Roman"/>
                <w:sz w:val="24"/>
                <w:szCs w:val="24"/>
              </w:rPr>
            </w:pPr>
          </w:p>
        </w:tc>
        <w:tc>
          <w:tcPr>
            <w:tcW w:w="2520" w:type="dxa"/>
          </w:tcPr>
          <w:p w:rsidR="005B7295" w:rsidRDefault="005B7295" w:rsidP="00D64A2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C218BF" w:rsidRDefault="00C218BF" w:rsidP="00D64A22">
            <w:pPr>
              <w:rPr>
                <w:rFonts w:ascii="Times New Roman" w:hAnsi="Times New Roman" w:cs="Times New Roman"/>
                <w:sz w:val="24"/>
                <w:szCs w:val="24"/>
              </w:rPr>
            </w:pPr>
          </w:p>
        </w:tc>
      </w:tr>
      <w:tr w:rsidR="00C218BF" w:rsidTr="00D64A22">
        <w:tc>
          <w:tcPr>
            <w:tcW w:w="4495" w:type="dxa"/>
          </w:tcPr>
          <w:p w:rsidR="00C218BF" w:rsidRDefault="008E07A1" w:rsidP="00D64A22">
            <w:pPr>
              <w:rPr>
                <w:rFonts w:ascii="Times New Roman" w:hAnsi="Times New Roman" w:cs="Times New Roman"/>
                <w:sz w:val="24"/>
                <w:szCs w:val="24"/>
              </w:rPr>
            </w:pPr>
            <w:r>
              <w:rPr>
                <w:rFonts w:ascii="Times New Roman" w:hAnsi="Times New Roman" w:cs="Times New Roman"/>
                <w:sz w:val="24"/>
                <w:szCs w:val="24"/>
              </w:rPr>
              <w:t xml:space="preserve">Incorporate elements of the Annie E. Casey Foundation’s principles of residential care for youth in secure confinement, as appropriate by </w:t>
            </w:r>
            <w:r w:rsidR="00BF29BB">
              <w:rPr>
                <w:rFonts w:ascii="Times New Roman" w:hAnsi="Times New Roman" w:cs="Times New Roman"/>
                <w:sz w:val="24"/>
                <w:szCs w:val="24"/>
              </w:rPr>
              <w:t>risk and needs of the population served at CJTS</w:t>
            </w:r>
          </w:p>
          <w:p w:rsidR="00BF29BB" w:rsidRPr="000C18AB" w:rsidRDefault="00BF29BB" w:rsidP="00D64A22">
            <w:pPr>
              <w:rPr>
                <w:rFonts w:ascii="Times New Roman" w:hAnsi="Times New Roman" w:cs="Times New Roman"/>
                <w:sz w:val="24"/>
                <w:szCs w:val="24"/>
              </w:rPr>
            </w:pPr>
          </w:p>
        </w:tc>
        <w:tc>
          <w:tcPr>
            <w:tcW w:w="2520" w:type="dxa"/>
          </w:tcPr>
          <w:p w:rsidR="00C218BF" w:rsidRDefault="005B7295" w:rsidP="00D64A22">
            <w:pPr>
              <w:rPr>
                <w:rFonts w:ascii="Times New Roman" w:hAnsi="Times New Roman" w:cs="Times New Roman"/>
                <w:sz w:val="24"/>
                <w:szCs w:val="24"/>
              </w:rPr>
            </w:pPr>
            <w:r>
              <w:rPr>
                <w:rFonts w:ascii="Times New Roman" w:hAnsi="Times New Roman" w:cs="Times New Roman"/>
                <w:sz w:val="24"/>
                <w:szCs w:val="24"/>
              </w:rPr>
              <w:t>CJTS Administration</w:t>
            </w:r>
          </w:p>
        </w:tc>
        <w:tc>
          <w:tcPr>
            <w:tcW w:w="2160" w:type="dxa"/>
          </w:tcPr>
          <w:p w:rsidR="00C218BF" w:rsidRDefault="00C218BF" w:rsidP="00D64A22">
            <w:pPr>
              <w:rPr>
                <w:rFonts w:ascii="Times New Roman" w:hAnsi="Times New Roman" w:cs="Times New Roman"/>
                <w:sz w:val="24"/>
                <w:szCs w:val="24"/>
              </w:rPr>
            </w:pPr>
          </w:p>
        </w:tc>
      </w:tr>
      <w:tr w:rsidR="00945424" w:rsidTr="00D64A22">
        <w:tc>
          <w:tcPr>
            <w:tcW w:w="4495" w:type="dxa"/>
          </w:tcPr>
          <w:p w:rsidR="00945424" w:rsidRDefault="00945424" w:rsidP="00D64A22">
            <w:pPr>
              <w:rPr>
                <w:rFonts w:ascii="Times New Roman" w:hAnsi="Times New Roman" w:cs="Times New Roman"/>
                <w:sz w:val="24"/>
                <w:szCs w:val="24"/>
              </w:rPr>
            </w:pPr>
            <w:r>
              <w:rPr>
                <w:rFonts w:ascii="Times New Roman" w:hAnsi="Times New Roman" w:cs="Times New Roman"/>
                <w:sz w:val="24"/>
                <w:szCs w:val="24"/>
              </w:rPr>
              <w:t>Enhance CJTS outcomes reporting, including data by race/ethnicity and age</w:t>
            </w:r>
          </w:p>
        </w:tc>
        <w:tc>
          <w:tcPr>
            <w:tcW w:w="2520" w:type="dxa"/>
          </w:tcPr>
          <w:p w:rsidR="00945424" w:rsidRDefault="00945424" w:rsidP="00D64A22">
            <w:pPr>
              <w:rPr>
                <w:rFonts w:ascii="Times New Roman" w:hAnsi="Times New Roman" w:cs="Times New Roman"/>
                <w:sz w:val="24"/>
                <w:szCs w:val="24"/>
              </w:rPr>
            </w:pPr>
            <w:r>
              <w:rPr>
                <w:rFonts w:ascii="Times New Roman" w:hAnsi="Times New Roman" w:cs="Times New Roman"/>
                <w:sz w:val="24"/>
                <w:szCs w:val="24"/>
              </w:rPr>
              <w:t>CJTS Administration;</w:t>
            </w:r>
          </w:p>
          <w:p w:rsidR="00945424" w:rsidRDefault="00945424" w:rsidP="00D64A22">
            <w:pPr>
              <w:rPr>
                <w:rFonts w:ascii="Times New Roman" w:hAnsi="Times New Roman" w:cs="Times New Roman"/>
                <w:sz w:val="24"/>
                <w:szCs w:val="24"/>
              </w:rPr>
            </w:pPr>
            <w:r>
              <w:rPr>
                <w:rFonts w:ascii="Times New Roman" w:hAnsi="Times New Roman" w:cs="Times New Roman"/>
                <w:sz w:val="24"/>
                <w:szCs w:val="24"/>
              </w:rPr>
              <w:t>Office for Research and Evaluation</w:t>
            </w:r>
          </w:p>
        </w:tc>
        <w:tc>
          <w:tcPr>
            <w:tcW w:w="2160" w:type="dxa"/>
          </w:tcPr>
          <w:p w:rsidR="00945424" w:rsidRDefault="00945424" w:rsidP="00D64A22">
            <w:pPr>
              <w:rPr>
                <w:rFonts w:ascii="Times New Roman" w:hAnsi="Times New Roman" w:cs="Times New Roman"/>
                <w:sz w:val="24"/>
                <w:szCs w:val="24"/>
              </w:rPr>
            </w:pPr>
          </w:p>
        </w:tc>
      </w:tr>
    </w:tbl>
    <w:p w:rsidR="00967209" w:rsidRDefault="00967209" w:rsidP="00C218BF">
      <w:pPr>
        <w:spacing w:after="0"/>
        <w:rPr>
          <w:rFonts w:ascii="Times New Roman" w:hAnsi="Times New Roman" w:cs="Times New Roman"/>
          <w:sz w:val="24"/>
          <w:szCs w:val="24"/>
        </w:rPr>
      </w:pPr>
    </w:p>
    <w:p w:rsidR="00A23A8B" w:rsidRDefault="00A23A8B" w:rsidP="00C218BF">
      <w:pPr>
        <w:spacing w:after="0"/>
        <w:rPr>
          <w:rFonts w:ascii="Times New Roman" w:hAnsi="Times New Roman" w:cs="Times New Roman"/>
          <w:sz w:val="24"/>
          <w:szCs w:val="24"/>
        </w:rPr>
      </w:pPr>
    </w:p>
    <w:p w:rsidR="004B1BEC" w:rsidRDefault="004B1BEC" w:rsidP="00C218BF">
      <w:pPr>
        <w:spacing w:after="0"/>
        <w:rPr>
          <w:rFonts w:ascii="Times New Roman" w:hAnsi="Times New Roman" w:cs="Times New Roman"/>
          <w:sz w:val="24"/>
          <w:szCs w:val="24"/>
        </w:rPr>
      </w:pPr>
    </w:p>
    <w:p w:rsidR="00A23A8B" w:rsidRDefault="00A23A8B" w:rsidP="00C218BF">
      <w:pPr>
        <w:spacing w:after="0"/>
        <w:rPr>
          <w:rFonts w:ascii="Times New Roman" w:hAnsi="Times New Roman" w:cs="Times New Roman"/>
          <w:sz w:val="24"/>
          <w:szCs w:val="24"/>
        </w:rPr>
      </w:pPr>
    </w:p>
    <w:tbl>
      <w:tblPr>
        <w:tblStyle w:val="TableGrid"/>
        <w:tblW w:w="9175" w:type="dxa"/>
        <w:tblLook w:val="04A0" w:firstRow="1" w:lastRow="0" w:firstColumn="1" w:lastColumn="0" w:noHBand="0" w:noVBand="1"/>
      </w:tblPr>
      <w:tblGrid>
        <w:gridCol w:w="4495"/>
        <w:gridCol w:w="2520"/>
        <w:gridCol w:w="2160"/>
      </w:tblGrid>
      <w:tr w:rsidR="00C218BF" w:rsidTr="00D64A22">
        <w:tc>
          <w:tcPr>
            <w:tcW w:w="9175" w:type="dxa"/>
            <w:gridSpan w:val="3"/>
            <w:shd w:val="clear" w:color="auto" w:fill="BFBFBF" w:themeFill="background1" w:themeFillShade="BF"/>
          </w:tcPr>
          <w:p w:rsidR="00C218BF"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GOAL</w:t>
            </w:r>
            <w:r w:rsidR="00534E22">
              <w:rPr>
                <w:rFonts w:ascii="Times New Roman" w:hAnsi="Times New Roman" w:cs="Times New Roman"/>
                <w:b/>
                <w:sz w:val="24"/>
                <w:szCs w:val="24"/>
              </w:rPr>
              <w:t xml:space="preserve"> 6</w:t>
            </w:r>
            <w:r>
              <w:rPr>
                <w:rFonts w:ascii="Times New Roman" w:hAnsi="Times New Roman" w:cs="Times New Roman"/>
                <w:sz w:val="24"/>
                <w:szCs w:val="24"/>
              </w:rPr>
              <w:t xml:space="preserve">:  </w:t>
            </w:r>
            <w:r w:rsidR="00EB0B9A">
              <w:rPr>
                <w:rFonts w:ascii="Times New Roman" w:hAnsi="Times New Roman" w:cs="Times New Roman"/>
                <w:b/>
                <w:sz w:val="24"/>
                <w:szCs w:val="24"/>
              </w:rPr>
              <w:t xml:space="preserve">Replace </w:t>
            </w:r>
            <w:r w:rsidRPr="008E07A1">
              <w:rPr>
                <w:rFonts w:ascii="Times New Roman" w:hAnsi="Times New Roman" w:cs="Times New Roman"/>
                <w:b/>
                <w:sz w:val="24"/>
                <w:szCs w:val="24"/>
              </w:rPr>
              <w:t>CJTS</w:t>
            </w:r>
            <w:r w:rsidR="00945424">
              <w:rPr>
                <w:rFonts w:ascii="Times New Roman" w:hAnsi="Times New Roman" w:cs="Times New Roman"/>
                <w:b/>
                <w:sz w:val="24"/>
                <w:szCs w:val="24"/>
              </w:rPr>
              <w:t xml:space="preserve"> </w:t>
            </w:r>
            <w:r w:rsidR="00EB0B9A">
              <w:rPr>
                <w:rFonts w:ascii="Times New Roman" w:hAnsi="Times New Roman" w:cs="Times New Roman"/>
                <w:b/>
                <w:sz w:val="24"/>
                <w:szCs w:val="24"/>
              </w:rPr>
              <w:t>secure capacity at an alternate setting(s)</w:t>
            </w:r>
          </w:p>
          <w:p w:rsidR="008D1341" w:rsidRDefault="008D1341" w:rsidP="00D64A22">
            <w:pPr>
              <w:rPr>
                <w:rFonts w:ascii="Times New Roman" w:hAnsi="Times New Roman" w:cs="Times New Roman"/>
                <w:sz w:val="24"/>
                <w:szCs w:val="24"/>
              </w:rPr>
            </w:pPr>
          </w:p>
        </w:tc>
      </w:tr>
      <w:tr w:rsidR="00C218BF" w:rsidRPr="000C18AB" w:rsidTr="00D64A22">
        <w:tc>
          <w:tcPr>
            <w:tcW w:w="4495" w:type="dxa"/>
          </w:tcPr>
          <w:p w:rsidR="00C218BF" w:rsidRPr="000C18AB" w:rsidRDefault="00EB0B9A" w:rsidP="00EB0B9A">
            <w:pPr>
              <w:rPr>
                <w:rFonts w:ascii="Times New Roman" w:hAnsi="Times New Roman" w:cs="Times New Roman"/>
                <w:b/>
                <w:sz w:val="24"/>
                <w:szCs w:val="24"/>
              </w:rPr>
            </w:pPr>
            <w:r>
              <w:rPr>
                <w:rFonts w:ascii="Times New Roman" w:hAnsi="Times New Roman" w:cs="Times New Roman"/>
                <w:b/>
                <w:sz w:val="24"/>
                <w:szCs w:val="24"/>
              </w:rPr>
              <w:t>Action Step</w:t>
            </w:r>
          </w:p>
        </w:tc>
        <w:tc>
          <w:tcPr>
            <w:tcW w:w="2520" w:type="dxa"/>
          </w:tcPr>
          <w:p w:rsidR="00C218BF" w:rsidRPr="000C18AB"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Responsible</w:t>
            </w:r>
          </w:p>
        </w:tc>
        <w:tc>
          <w:tcPr>
            <w:tcW w:w="2160" w:type="dxa"/>
          </w:tcPr>
          <w:p w:rsidR="00C218BF" w:rsidRPr="000C18AB" w:rsidRDefault="00C218BF" w:rsidP="00D64A22">
            <w:pPr>
              <w:rPr>
                <w:rFonts w:ascii="Times New Roman" w:hAnsi="Times New Roman" w:cs="Times New Roman"/>
                <w:b/>
                <w:sz w:val="24"/>
                <w:szCs w:val="24"/>
              </w:rPr>
            </w:pPr>
            <w:r w:rsidRPr="000C18AB">
              <w:rPr>
                <w:rFonts w:ascii="Times New Roman" w:hAnsi="Times New Roman" w:cs="Times New Roman"/>
                <w:b/>
                <w:sz w:val="24"/>
                <w:szCs w:val="24"/>
              </w:rPr>
              <w:t>Timeframe</w:t>
            </w:r>
          </w:p>
        </w:tc>
      </w:tr>
      <w:tr w:rsidR="00C218BF" w:rsidTr="00D64A22">
        <w:tc>
          <w:tcPr>
            <w:tcW w:w="4495" w:type="dxa"/>
          </w:tcPr>
          <w:p w:rsidR="00C218BF" w:rsidRDefault="00F24D8C" w:rsidP="00D64A22">
            <w:pPr>
              <w:rPr>
                <w:rFonts w:ascii="Times New Roman" w:hAnsi="Times New Roman" w:cs="Times New Roman"/>
                <w:sz w:val="24"/>
                <w:szCs w:val="24"/>
              </w:rPr>
            </w:pPr>
            <w:r>
              <w:rPr>
                <w:rFonts w:ascii="Times New Roman" w:hAnsi="Times New Roman" w:cs="Times New Roman"/>
                <w:sz w:val="24"/>
                <w:szCs w:val="24"/>
              </w:rPr>
              <w:t>Host forums for service providers to review data on the population of youth served at CJTS and explore options for serving some of them through contracted services</w:t>
            </w:r>
          </w:p>
        </w:tc>
        <w:tc>
          <w:tcPr>
            <w:tcW w:w="2520" w:type="dxa"/>
          </w:tcPr>
          <w:p w:rsidR="00C218BF" w:rsidRDefault="00F24D8C" w:rsidP="00D64A22">
            <w:pPr>
              <w:rPr>
                <w:rFonts w:ascii="Times New Roman" w:hAnsi="Times New Roman" w:cs="Times New Roman"/>
                <w:sz w:val="24"/>
                <w:szCs w:val="24"/>
              </w:rPr>
            </w:pPr>
            <w:r>
              <w:rPr>
                <w:rFonts w:ascii="Times New Roman" w:hAnsi="Times New Roman" w:cs="Times New Roman"/>
                <w:sz w:val="24"/>
                <w:szCs w:val="24"/>
              </w:rPr>
              <w:t>DCF Commissioner’s Office; Casey Family Programs</w:t>
            </w:r>
          </w:p>
        </w:tc>
        <w:tc>
          <w:tcPr>
            <w:tcW w:w="2160" w:type="dxa"/>
          </w:tcPr>
          <w:p w:rsidR="00C218BF" w:rsidRDefault="00C218BF" w:rsidP="00D64A22">
            <w:pPr>
              <w:rPr>
                <w:rFonts w:ascii="Times New Roman" w:hAnsi="Times New Roman" w:cs="Times New Roman"/>
                <w:sz w:val="24"/>
                <w:szCs w:val="24"/>
              </w:rPr>
            </w:pPr>
          </w:p>
        </w:tc>
      </w:tr>
      <w:tr w:rsidR="00F24D8C" w:rsidTr="00D64A22">
        <w:tc>
          <w:tcPr>
            <w:tcW w:w="4495" w:type="dxa"/>
          </w:tcPr>
          <w:p w:rsidR="00F24D8C" w:rsidRDefault="00F24D8C" w:rsidP="00F24D8C">
            <w:pPr>
              <w:rPr>
                <w:rFonts w:ascii="Times New Roman" w:hAnsi="Times New Roman" w:cs="Times New Roman"/>
                <w:sz w:val="24"/>
                <w:szCs w:val="24"/>
              </w:rPr>
            </w:pPr>
            <w:r w:rsidRPr="00C218BF">
              <w:rPr>
                <w:rFonts w:ascii="Times New Roman" w:hAnsi="Times New Roman" w:cs="Times New Roman"/>
                <w:sz w:val="24"/>
                <w:szCs w:val="24"/>
              </w:rPr>
              <w:t>Identify alternate site(s) from surplus state property list</w:t>
            </w:r>
            <w:r>
              <w:rPr>
                <w:rFonts w:ascii="Times New Roman" w:hAnsi="Times New Roman" w:cs="Times New Roman"/>
                <w:sz w:val="24"/>
                <w:szCs w:val="24"/>
              </w:rPr>
              <w:t xml:space="preserve"> and modify them to meet </w:t>
            </w:r>
            <w:r w:rsidR="00914F0C">
              <w:rPr>
                <w:rFonts w:ascii="Times New Roman" w:hAnsi="Times New Roman" w:cs="Times New Roman"/>
                <w:sz w:val="24"/>
                <w:szCs w:val="24"/>
              </w:rPr>
              <w:t xml:space="preserve">the </w:t>
            </w:r>
            <w:r>
              <w:rPr>
                <w:rFonts w:ascii="Times New Roman" w:hAnsi="Times New Roman" w:cs="Times New Roman"/>
                <w:sz w:val="24"/>
                <w:szCs w:val="24"/>
              </w:rPr>
              <w:t>programmatic needs of youth currently served by CJTS, including both hardware secure and staff secure units</w:t>
            </w:r>
          </w:p>
          <w:p w:rsidR="00F24D8C" w:rsidRDefault="00F24D8C" w:rsidP="00F24D8C">
            <w:pPr>
              <w:rPr>
                <w:rFonts w:ascii="Times New Roman" w:hAnsi="Times New Roman" w:cs="Times New Roman"/>
                <w:sz w:val="24"/>
                <w:szCs w:val="24"/>
              </w:rPr>
            </w:pPr>
          </w:p>
        </w:tc>
        <w:tc>
          <w:tcPr>
            <w:tcW w:w="2520" w:type="dxa"/>
          </w:tcPr>
          <w:p w:rsidR="00F24D8C" w:rsidRDefault="00F24D8C" w:rsidP="00F24D8C">
            <w:pPr>
              <w:rPr>
                <w:rFonts w:ascii="Times New Roman" w:hAnsi="Times New Roman" w:cs="Times New Roman"/>
                <w:sz w:val="24"/>
                <w:szCs w:val="24"/>
              </w:rPr>
            </w:pPr>
            <w:r>
              <w:rPr>
                <w:rFonts w:ascii="Times New Roman" w:hAnsi="Times New Roman" w:cs="Times New Roman"/>
                <w:sz w:val="24"/>
                <w:szCs w:val="24"/>
              </w:rPr>
              <w:t>Engineering Division; Office of Policy and Management; DAS Construction Services</w:t>
            </w:r>
          </w:p>
        </w:tc>
        <w:tc>
          <w:tcPr>
            <w:tcW w:w="2160" w:type="dxa"/>
          </w:tcPr>
          <w:p w:rsidR="00F24D8C" w:rsidRDefault="00F24D8C" w:rsidP="00F24D8C">
            <w:pPr>
              <w:rPr>
                <w:rFonts w:ascii="Times New Roman" w:hAnsi="Times New Roman" w:cs="Times New Roman"/>
                <w:sz w:val="24"/>
                <w:szCs w:val="24"/>
              </w:rPr>
            </w:pPr>
          </w:p>
        </w:tc>
      </w:tr>
      <w:tr w:rsidR="00F24D8C" w:rsidTr="00D64A22">
        <w:tc>
          <w:tcPr>
            <w:tcW w:w="4495" w:type="dxa"/>
          </w:tcPr>
          <w:p w:rsidR="00F24D8C" w:rsidRPr="00C218BF" w:rsidRDefault="00914F0C" w:rsidP="002F21CC">
            <w:pPr>
              <w:rPr>
                <w:rFonts w:ascii="Times New Roman" w:hAnsi="Times New Roman" w:cs="Times New Roman"/>
                <w:sz w:val="24"/>
                <w:szCs w:val="24"/>
              </w:rPr>
            </w:pPr>
            <w:r>
              <w:rPr>
                <w:rFonts w:ascii="Times New Roman" w:hAnsi="Times New Roman" w:cs="Times New Roman"/>
                <w:sz w:val="24"/>
                <w:szCs w:val="24"/>
              </w:rPr>
              <w:t>Develop a plan for modifying CJTS if alternate locations cannot be found</w:t>
            </w:r>
          </w:p>
        </w:tc>
        <w:tc>
          <w:tcPr>
            <w:tcW w:w="2520" w:type="dxa"/>
          </w:tcPr>
          <w:p w:rsidR="00F24D8C" w:rsidRDefault="00914F0C" w:rsidP="00F24D8C">
            <w:pPr>
              <w:rPr>
                <w:rFonts w:ascii="Times New Roman" w:hAnsi="Times New Roman" w:cs="Times New Roman"/>
                <w:sz w:val="24"/>
                <w:szCs w:val="24"/>
              </w:rPr>
            </w:pPr>
            <w:r>
              <w:rPr>
                <w:rFonts w:ascii="Times New Roman" w:hAnsi="Times New Roman" w:cs="Times New Roman"/>
                <w:sz w:val="24"/>
                <w:szCs w:val="24"/>
              </w:rPr>
              <w:t>Engineering Division; Office of Policy and Management; DAS Construction Services</w:t>
            </w:r>
          </w:p>
        </w:tc>
        <w:tc>
          <w:tcPr>
            <w:tcW w:w="2160" w:type="dxa"/>
          </w:tcPr>
          <w:p w:rsidR="00F24D8C" w:rsidRDefault="00F24D8C" w:rsidP="00F24D8C">
            <w:pPr>
              <w:rPr>
                <w:rFonts w:ascii="Times New Roman" w:hAnsi="Times New Roman" w:cs="Times New Roman"/>
                <w:sz w:val="24"/>
                <w:szCs w:val="24"/>
              </w:rPr>
            </w:pPr>
          </w:p>
        </w:tc>
      </w:tr>
    </w:tbl>
    <w:p w:rsidR="00C218BF" w:rsidRPr="00C218BF" w:rsidRDefault="00C218BF" w:rsidP="00C218BF">
      <w:pPr>
        <w:spacing w:after="0"/>
        <w:rPr>
          <w:rFonts w:ascii="Times New Roman" w:hAnsi="Times New Roman" w:cs="Times New Roman"/>
          <w:sz w:val="24"/>
          <w:szCs w:val="24"/>
        </w:rPr>
      </w:pPr>
    </w:p>
    <w:p w:rsidR="00927F25" w:rsidRPr="00ED6F97" w:rsidRDefault="00927F25" w:rsidP="00C71731">
      <w:pPr>
        <w:pStyle w:val="ListParagraph"/>
        <w:spacing w:after="0"/>
        <w:rPr>
          <w:rFonts w:ascii="Times New Roman" w:hAnsi="Times New Roman" w:cs="Times New Roman"/>
          <w:sz w:val="24"/>
          <w:szCs w:val="24"/>
        </w:rPr>
      </w:pPr>
    </w:p>
    <w:sectPr w:rsidR="00927F25" w:rsidRPr="00ED6F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D9" w:rsidRDefault="00346BD9" w:rsidP="009B68F2">
      <w:pPr>
        <w:spacing w:after="0" w:line="240" w:lineRule="auto"/>
      </w:pPr>
      <w:r>
        <w:separator/>
      </w:r>
    </w:p>
  </w:endnote>
  <w:endnote w:type="continuationSeparator" w:id="0">
    <w:p w:rsidR="00346BD9" w:rsidRDefault="00346BD9" w:rsidP="009B68F2">
      <w:pPr>
        <w:spacing w:after="0" w:line="240" w:lineRule="auto"/>
      </w:pPr>
      <w:r>
        <w:continuationSeparator/>
      </w:r>
    </w:p>
  </w:endnote>
  <w:endnote w:id="1">
    <w:p w:rsidR="001149F6" w:rsidRPr="00AE5902" w:rsidRDefault="001149F6">
      <w:pPr>
        <w:pStyle w:val="EndnoteText"/>
        <w:rPr>
          <w:rFonts w:ascii="Times New Roman" w:hAnsi="Times New Roman" w:cs="Times New Roman"/>
        </w:rPr>
      </w:pPr>
      <w:r w:rsidRPr="00AE5902">
        <w:rPr>
          <w:rStyle w:val="EndnoteReference"/>
          <w:rFonts w:ascii="Times New Roman" w:hAnsi="Times New Roman" w:cs="Times New Roman"/>
        </w:rPr>
        <w:endnoteRef/>
      </w:r>
      <w:r w:rsidRPr="00AE5902">
        <w:rPr>
          <w:rFonts w:ascii="Times New Roman" w:hAnsi="Times New Roman" w:cs="Times New Roman"/>
        </w:rPr>
        <w:t xml:space="preserve"> </w:t>
      </w:r>
      <w:r w:rsidR="00CA33EC" w:rsidRPr="00AE5902">
        <w:rPr>
          <w:rFonts w:ascii="Times New Roman" w:hAnsi="Times New Roman" w:cs="Times New Roman"/>
        </w:rPr>
        <w:t xml:space="preserve">Mendel, Richard A.  </w:t>
      </w:r>
      <w:r w:rsidRPr="00AE5902">
        <w:rPr>
          <w:rFonts w:ascii="Times New Roman" w:hAnsi="Times New Roman" w:cs="Times New Roman"/>
          <w:i/>
        </w:rPr>
        <w:t>No Place for Kids: The Case for Reducing Juvenile Incarceration</w:t>
      </w:r>
      <w:r w:rsidR="00CA33EC" w:rsidRPr="00AE5902">
        <w:rPr>
          <w:rFonts w:ascii="Times New Roman" w:hAnsi="Times New Roman" w:cs="Times New Roman"/>
          <w:i/>
        </w:rPr>
        <w:t>.</w:t>
      </w:r>
      <w:r w:rsidR="00CA33EC" w:rsidRPr="00AE5902">
        <w:rPr>
          <w:rFonts w:ascii="Times New Roman" w:hAnsi="Times New Roman" w:cs="Times New Roman"/>
        </w:rPr>
        <w:t xml:space="preserve">  Baltimore</w:t>
      </w:r>
      <w:r w:rsidR="00BC26B8">
        <w:rPr>
          <w:rFonts w:ascii="Times New Roman" w:hAnsi="Times New Roman" w:cs="Times New Roman"/>
        </w:rPr>
        <w:t>, MD</w:t>
      </w:r>
      <w:r w:rsidR="00CA33EC" w:rsidRPr="00AE5902">
        <w:rPr>
          <w:rFonts w:ascii="Times New Roman" w:hAnsi="Times New Roman" w:cs="Times New Roman"/>
        </w:rPr>
        <w:t>: Annie E. Casey Foundation, 2011.</w:t>
      </w:r>
      <w:r w:rsidR="00AE5902" w:rsidRPr="00AE5902">
        <w:rPr>
          <w:rFonts w:ascii="Times New Roman" w:hAnsi="Times New Roman" w:cs="Times New Roman"/>
        </w:rPr>
        <w:t xml:space="preserve">  Print.</w:t>
      </w:r>
    </w:p>
  </w:endnote>
  <w:endnote w:id="2">
    <w:p w:rsidR="001149F6" w:rsidRPr="00AE5902" w:rsidRDefault="001149F6">
      <w:pPr>
        <w:pStyle w:val="EndnoteText"/>
        <w:rPr>
          <w:rFonts w:ascii="Times New Roman" w:hAnsi="Times New Roman" w:cs="Times New Roman"/>
        </w:rPr>
      </w:pPr>
      <w:r w:rsidRPr="00AE5902">
        <w:rPr>
          <w:rStyle w:val="EndnoteReference"/>
          <w:rFonts w:ascii="Times New Roman" w:hAnsi="Times New Roman" w:cs="Times New Roman"/>
        </w:rPr>
        <w:endnoteRef/>
      </w:r>
      <w:r w:rsidRPr="00AE5902">
        <w:rPr>
          <w:rFonts w:ascii="Times New Roman" w:hAnsi="Times New Roman" w:cs="Times New Roman"/>
        </w:rPr>
        <w:t xml:space="preserve"> </w:t>
      </w:r>
      <w:r w:rsidR="00AE5902">
        <w:rPr>
          <w:rFonts w:ascii="Times New Roman" w:hAnsi="Times New Roman" w:cs="Times New Roman"/>
        </w:rPr>
        <w:t xml:space="preserve">Kelly, Marior R., James C. Howell and Kristen Johnson.  </w:t>
      </w:r>
      <w:r w:rsidR="00AE5902" w:rsidRPr="008E0A0D">
        <w:rPr>
          <w:rFonts w:ascii="Times New Roman" w:hAnsi="Times New Roman" w:cs="Times New Roman"/>
          <w:i/>
        </w:rPr>
        <w:t>Final Report for the State of Connecticut Department of Children and Families</w:t>
      </w:r>
      <w:r w:rsidR="00AE5902">
        <w:rPr>
          <w:rFonts w:ascii="Times New Roman" w:hAnsi="Times New Roman" w:cs="Times New Roman"/>
        </w:rPr>
        <w:t>.  Washington, DC: Georgetown University Center for Juvenile Justice Reform, 2013.  Print.</w:t>
      </w:r>
    </w:p>
  </w:endnote>
  <w:endnote w:id="3">
    <w:p w:rsidR="001149F6" w:rsidRPr="00AE5902" w:rsidRDefault="001149F6">
      <w:pPr>
        <w:pStyle w:val="EndnoteText"/>
        <w:rPr>
          <w:rFonts w:ascii="Times New Roman" w:hAnsi="Times New Roman" w:cs="Times New Roman"/>
        </w:rPr>
      </w:pPr>
      <w:r w:rsidRPr="00AE5902">
        <w:rPr>
          <w:rStyle w:val="EndnoteReference"/>
          <w:rFonts w:ascii="Times New Roman" w:hAnsi="Times New Roman" w:cs="Times New Roman"/>
        </w:rPr>
        <w:endnoteRef/>
      </w:r>
      <w:r w:rsidRPr="00AE5902">
        <w:rPr>
          <w:rFonts w:ascii="Times New Roman" w:hAnsi="Times New Roman" w:cs="Times New Roman"/>
        </w:rPr>
        <w:t xml:space="preserve"> Kinscherf</w:t>
      </w:r>
      <w:r w:rsidR="008E0A0D">
        <w:rPr>
          <w:rFonts w:ascii="Times New Roman" w:hAnsi="Times New Roman" w:cs="Times New Roman"/>
        </w:rPr>
        <w:t xml:space="preserve">f, Robert.  </w:t>
      </w:r>
      <w:r w:rsidR="008E0A0D">
        <w:rPr>
          <w:rFonts w:ascii="Times New Roman" w:hAnsi="Times New Roman" w:cs="Times New Roman"/>
          <w:i/>
        </w:rPr>
        <w:t>Strategic Review of CJTS/Pueblo Girls Program Policies and Practices.</w:t>
      </w:r>
      <w:r w:rsidR="008E0A0D">
        <w:rPr>
          <w:rFonts w:ascii="Times New Roman" w:hAnsi="Times New Roman" w:cs="Times New Roman"/>
        </w:rPr>
        <w:t xml:space="preserve">  </w:t>
      </w:r>
      <w:r w:rsidR="00BC26B8">
        <w:rPr>
          <w:rFonts w:ascii="Times New Roman" w:hAnsi="Times New Roman" w:cs="Times New Roman"/>
        </w:rPr>
        <w:t xml:space="preserve"> </w:t>
      </w:r>
      <w:r w:rsidR="00BC26B8" w:rsidRPr="00BC26B8">
        <w:rPr>
          <w:rFonts w:ascii="Times New Roman" w:hAnsi="Times New Roman" w:cs="Times New Roman"/>
        </w:rPr>
        <w:t>Delmar, NY: National Center for Mental Health and Juvenile Justice</w:t>
      </w:r>
      <w:r w:rsidR="00BC26B8">
        <w:rPr>
          <w:rFonts w:ascii="Times New Roman" w:hAnsi="Times New Roman" w:cs="Times New Roman"/>
        </w:rPr>
        <w:t>, 2015.  Print.</w:t>
      </w:r>
    </w:p>
  </w:endnote>
  <w:endnote w:id="4">
    <w:p w:rsidR="004076BE" w:rsidRDefault="004076BE">
      <w:pPr>
        <w:pStyle w:val="EndnoteText"/>
      </w:pPr>
      <w:r w:rsidRPr="00AE5902">
        <w:rPr>
          <w:rStyle w:val="EndnoteReference"/>
          <w:rFonts w:ascii="Times New Roman" w:hAnsi="Times New Roman" w:cs="Times New Roman"/>
        </w:rPr>
        <w:endnoteRef/>
      </w:r>
      <w:r w:rsidRPr="00AE5902">
        <w:rPr>
          <w:rFonts w:ascii="Times New Roman" w:hAnsi="Times New Roman" w:cs="Times New Roman"/>
        </w:rPr>
        <w:t xml:space="preserve"> </w:t>
      </w:r>
      <w:r w:rsidR="00BC26B8">
        <w:rPr>
          <w:rFonts w:ascii="Times New Roman" w:hAnsi="Times New Roman" w:cs="Times New Roman"/>
        </w:rPr>
        <w:t xml:space="preserve">Balis, Nate.  </w:t>
      </w:r>
      <w:r w:rsidRPr="00AE5902">
        <w:rPr>
          <w:rFonts w:ascii="Times New Roman" w:hAnsi="Times New Roman" w:cs="Times New Roman"/>
        </w:rPr>
        <w:t>AECF P</w:t>
      </w:r>
      <w:r w:rsidR="00BC26B8">
        <w:rPr>
          <w:rFonts w:ascii="Times New Roman" w:hAnsi="Times New Roman" w:cs="Times New Roman"/>
        </w:rPr>
        <w:t xml:space="preserve">rinciples of Residential Care [PowerPoint slides].  Baltimore, MD: </w:t>
      </w:r>
      <w:r w:rsidR="00BC26B8" w:rsidRPr="00AE5902">
        <w:rPr>
          <w:rFonts w:ascii="Times New Roman" w:hAnsi="Times New Roman" w:cs="Times New Roman"/>
        </w:rPr>
        <w:t>Annie E. Casey Foundation</w:t>
      </w:r>
      <w:r w:rsidR="00BC26B8">
        <w:rPr>
          <w:rFonts w:ascii="Times New Roman" w:hAnsi="Times New Roman" w:cs="Times New Roman"/>
        </w:rPr>
        <w:t>, 2016</w:t>
      </w:r>
      <w:r w:rsidR="00BC26B8" w:rsidRPr="00AE5902">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32934"/>
      <w:docPartObj>
        <w:docPartGallery w:val="Page Numbers (Bottom of Page)"/>
        <w:docPartUnique/>
      </w:docPartObj>
    </w:sdtPr>
    <w:sdtEndPr>
      <w:rPr>
        <w:noProof/>
      </w:rPr>
    </w:sdtEndPr>
    <w:sdtContent>
      <w:p w:rsidR="006B362B" w:rsidRDefault="006B362B">
        <w:pPr>
          <w:pStyle w:val="Footer"/>
          <w:jc w:val="right"/>
        </w:pPr>
        <w:r>
          <w:fldChar w:fldCharType="begin"/>
        </w:r>
        <w:r>
          <w:instrText xml:space="preserve"> PAGE   \* MERGEFORMAT </w:instrText>
        </w:r>
        <w:r>
          <w:fldChar w:fldCharType="separate"/>
        </w:r>
        <w:r w:rsidR="001F4A85">
          <w:rPr>
            <w:noProof/>
          </w:rPr>
          <w:t>8</w:t>
        </w:r>
        <w:r>
          <w:rPr>
            <w:noProof/>
          </w:rPr>
          <w:fldChar w:fldCharType="end"/>
        </w:r>
      </w:p>
    </w:sdtContent>
  </w:sdt>
  <w:p w:rsidR="006B362B" w:rsidRDefault="006B36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D9" w:rsidRDefault="00346BD9" w:rsidP="009B68F2">
      <w:pPr>
        <w:spacing w:after="0" w:line="240" w:lineRule="auto"/>
      </w:pPr>
      <w:r>
        <w:separator/>
      </w:r>
    </w:p>
  </w:footnote>
  <w:footnote w:type="continuationSeparator" w:id="0">
    <w:p w:rsidR="00346BD9" w:rsidRDefault="00346BD9" w:rsidP="009B68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DE6"/>
    <w:multiLevelType w:val="hybridMultilevel"/>
    <w:tmpl w:val="AED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5F5"/>
    <w:multiLevelType w:val="hybridMultilevel"/>
    <w:tmpl w:val="FBE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C0BC8"/>
    <w:multiLevelType w:val="hybridMultilevel"/>
    <w:tmpl w:val="304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81E01"/>
    <w:multiLevelType w:val="hybridMultilevel"/>
    <w:tmpl w:val="3D0C8544"/>
    <w:lvl w:ilvl="0" w:tplc="6218B940">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85793"/>
    <w:multiLevelType w:val="multilevel"/>
    <w:tmpl w:val="D9982F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012B26"/>
    <w:multiLevelType w:val="hybridMultilevel"/>
    <w:tmpl w:val="648E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2036A"/>
    <w:multiLevelType w:val="hybridMultilevel"/>
    <w:tmpl w:val="DF42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F63DF"/>
    <w:multiLevelType w:val="hybridMultilevel"/>
    <w:tmpl w:val="4B7401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AC2B60"/>
    <w:multiLevelType w:val="multilevel"/>
    <w:tmpl w:val="8694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C708BC"/>
    <w:multiLevelType w:val="hybridMultilevel"/>
    <w:tmpl w:val="94B685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570DC"/>
    <w:multiLevelType w:val="hybridMultilevel"/>
    <w:tmpl w:val="F52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6"/>
  </w:num>
  <w:num w:numId="6">
    <w:abstractNumId w:val="10"/>
  </w:num>
  <w:num w:numId="7">
    <w:abstractNumId w:val="0"/>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25"/>
    <w:rsid w:val="000010EB"/>
    <w:rsid w:val="0001028E"/>
    <w:rsid w:val="00032545"/>
    <w:rsid w:val="00036F57"/>
    <w:rsid w:val="000B7565"/>
    <w:rsid w:val="000C18AB"/>
    <w:rsid w:val="000D5C31"/>
    <w:rsid w:val="000D602A"/>
    <w:rsid w:val="00102FB2"/>
    <w:rsid w:val="00105AEB"/>
    <w:rsid w:val="001149F6"/>
    <w:rsid w:val="00116BA2"/>
    <w:rsid w:val="00117A52"/>
    <w:rsid w:val="00126E11"/>
    <w:rsid w:val="00172F4C"/>
    <w:rsid w:val="00176A68"/>
    <w:rsid w:val="00181DFA"/>
    <w:rsid w:val="001B1306"/>
    <w:rsid w:val="001D3D34"/>
    <w:rsid w:val="001F4A85"/>
    <w:rsid w:val="002030CC"/>
    <w:rsid w:val="002604B4"/>
    <w:rsid w:val="0026609A"/>
    <w:rsid w:val="00273DD0"/>
    <w:rsid w:val="002E44DC"/>
    <w:rsid w:val="002F21CC"/>
    <w:rsid w:val="003269BB"/>
    <w:rsid w:val="00346BD9"/>
    <w:rsid w:val="00381E98"/>
    <w:rsid w:val="00394236"/>
    <w:rsid w:val="003C3228"/>
    <w:rsid w:val="003E0235"/>
    <w:rsid w:val="003E5C72"/>
    <w:rsid w:val="003F08FE"/>
    <w:rsid w:val="003F31D3"/>
    <w:rsid w:val="004076BE"/>
    <w:rsid w:val="00456307"/>
    <w:rsid w:val="00470EA4"/>
    <w:rsid w:val="00485E6C"/>
    <w:rsid w:val="004B1BEC"/>
    <w:rsid w:val="004E7D4F"/>
    <w:rsid w:val="004F599A"/>
    <w:rsid w:val="005047B9"/>
    <w:rsid w:val="00534E22"/>
    <w:rsid w:val="00545FC9"/>
    <w:rsid w:val="00570A35"/>
    <w:rsid w:val="005B7295"/>
    <w:rsid w:val="005C0978"/>
    <w:rsid w:val="006036A9"/>
    <w:rsid w:val="00611ADA"/>
    <w:rsid w:val="00613ABD"/>
    <w:rsid w:val="00635F5B"/>
    <w:rsid w:val="00641582"/>
    <w:rsid w:val="006B362B"/>
    <w:rsid w:val="006B609B"/>
    <w:rsid w:val="006D0408"/>
    <w:rsid w:val="006D3A3F"/>
    <w:rsid w:val="006F2BF7"/>
    <w:rsid w:val="006F509F"/>
    <w:rsid w:val="00751CF4"/>
    <w:rsid w:val="007A020F"/>
    <w:rsid w:val="007F042A"/>
    <w:rsid w:val="00804BDA"/>
    <w:rsid w:val="008325A7"/>
    <w:rsid w:val="00841C78"/>
    <w:rsid w:val="008479EE"/>
    <w:rsid w:val="00863265"/>
    <w:rsid w:val="00867EEB"/>
    <w:rsid w:val="00886AA9"/>
    <w:rsid w:val="008A13EE"/>
    <w:rsid w:val="008B41D7"/>
    <w:rsid w:val="008B6914"/>
    <w:rsid w:val="008C4FF6"/>
    <w:rsid w:val="008D1341"/>
    <w:rsid w:val="008E07A1"/>
    <w:rsid w:val="008E0A0D"/>
    <w:rsid w:val="00914F0C"/>
    <w:rsid w:val="009210DA"/>
    <w:rsid w:val="00927F25"/>
    <w:rsid w:val="00945424"/>
    <w:rsid w:val="00967209"/>
    <w:rsid w:val="00981DE4"/>
    <w:rsid w:val="0098477D"/>
    <w:rsid w:val="009B080A"/>
    <w:rsid w:val="009B68F2"/>
    <w:rsid w:val="00A01440"/>
    <w:rsid w:val="00A04E85"/>
    <w:rsid w:val="00A15C64"/>
    <w:rsid w:val="00A23A8B"/>
    <w:rsid w:val="00A701E2"/>
    <w:rsid w:val="00A74D5C"/>
    <w:rsid w:val="00AB63E4"/>
    <w:rsid w:val="00AC23B8"/>
    <w:rsid w:val="00AE5902"/>
    <w:rsid w:val="00B14A03"/>
    <w:rsid w:val="00B35AC1"/>
    <w:rsid w:val="00B41C0D"/>
    <w:rsid w:val="00B52F90"/>
    <w:rsid w:val="00B803EF"/>
    <w:rsid w:val="00BC26B8"/>
    <w:rsid w:val="00BF29BB"/>
    <w:rsid w:val="00BF66D6"/>
    <w:rsid w:val="00C10424"/>
    <w:rsid w:val="00C217F9"/>
    <w:rsid w:val="00C218BF"/>
    <w:rsid w:val="00C276A7"/>
    <w:rsid w:val="00C32043"/>
    <w:rsid w:val="00C71731"/>
    <w:rsid w:val="00CA33EC"/>
    <w:rsid w:val="00CA4680"/>
    <w:rsid w:val="00CF5DF7"/>
    <w:rsid w:val="00D01CEF"/>
    <w:rsid w:val="00DB00DF"/>
    <w:rsid w:val="00DB11FD"/>
    <w:rsid w:val="00DD3158"/>
    <w:rsid w:val="00DD3418"/>
    <w:rsid w:val="00E129E9"/>
    <w:rsid w:val="00E73752"/>
    <w:rsid w:val="00E74BFD"/>
    <w:rsid w:val="00E916CA"/>
    <w:rsid w:val="00E927FE"/>
    <w:rsid w:val="00E94AD2"/>
    <w:rsid w:val="00EB07A3"/>
    <w:rsid w:val="00EB0B9A"/>
    <w:rsid w:val="00ED6F97"/>
    <w:rsid w:val="00EE0F82"/>
    <w:rsid w:val="00F24D8C"/>
    <w:rsid w:val="00F459F3"/>
    <w:rsid w:val="00FD23E4"/>
    <w:rsid w:val="00FE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63265"/>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25"/>
    <w:pPr>
      <w:ind w:left="720"/>
      <w:contextualSpacing/>
    </w:pPr>
  </w:style>
  <w:style w:type="paragraph" w:styleId="BalloonText">
    <w:name w:val="Balloon Text"/>
    <w:basedOn w:val="Normal"/>
    <w:link w:val="BalloonTextChar"/>
    <w:uiPriority w:val="99"/>
    <w:semiHidden/>
    <w:unhideWhenUsed/>
    <w:rsid w:val="008B4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D7"/>
    <w:rPr>
      <w:rFonts w:ascii="Segoe UI" w:hAnsi="Segoe UI" w:cs="Segoe UI"/>
      <w:sz w:val="18"/>
      <w:szCs w:val="18"/>
    </w:rPr>
  </w:style>
  <w:style w:type="paragraph" w:styleId="NormalWeb">
    <w:name w:val="Normal (Web)"/>
    <w:basedOn w:val="Normal"/>
    <w:uiPriority w:val="99"/>
    <w:unhideWhenUsed/>
    <w:rsid w:val="00DB11FD"/>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9B6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8F2"/>
    <w:rPr>
      <w:sz w:val="20"/>
      <w:szCs w:val="20"/>
    </w:rPr>
  </w:style>
  <w:style w:type="character" w:styleId="EndnoteReference">
    <w:name w:val="endnote reference"/>
    <w:basedOn w:val="DefaultParagraphFont"/>
    <w:uiPriority w:val="99"/>
    <w:semiHidden/>
    <w:unhideWhenUsed/>
    <w:rsid w:val="009B68F2"/>
    <w:rPr>
      <w:vertAlign w:val="superscript"/>
    </w:rPr>
  </w:style>
  <w:style w:type="character" w:styleId="Strong">
    <w:name w:val="Strong"/>
    <w:basedOn w:val="DefaultParagraphFont"/>
    <w:uiPriority w:val="22"/>
    <w:qFormat/>
    <w:rsid w:val="00867EEB"/>
    <w:rPr>
      <w:b/>
      <w:bCs/>
    </w:rPr>
  </w:style>
  <w:style w:type="table" w:styleId="TableGrid">
    <w:name w:val="Table Grid"/>
    <w:basedOn w:val="TableNormal"/>
    <w:uiPriority w:val="39"/>
    <w:rsid w:val="00C7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63265"/>
    <w:rPr>
      <w:rFonts w:ascii="Times New Roman" w:eastAsia="Times New Roman" w:hAnsi="Times New Roman" w:cs="Times New Roman"/>
      <w:b/>
      <w:bCs/>
      <w:sz w:val="24"/>
      <w:szCs w:val="24"/>
    </w:rPr>
  </w:style>
  <w:style w:type="paragraph" w:styleId="BodyText">
    <w:name w:val="Body Text"/>
    <w:basedOn w:val="Normal"/>
    <w:link w:val="BodyTextChar"/>
    <w:rsid w:val="008632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32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2B"/>
  </w:style>
  <w:style w:type="paragraph" w:styleId="Footer">
    <w:name w:val="footer"/>
    <w:basedOn w:val="Normal"/>
    <w:link w:val="FooterChar"/>
    <w:uiPriority w:val="99"/>
    <w:unhideWhenUsed/>
    <w:rsid w:val="006B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63265"/>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25"/>
    <w:pPr>
      <w:ind w:left="720"/>
      <w:contextualSpacing/>
    </w:pPr>
  </w:style>
  <w:style w:type="paragraph" w:styleId="BalloonText">
    <w:name w:val="Balloon Text"/>
    <w:basedOn w:val="Normal"/>
    <w:link w:val="BalloonTextChar"/>
    <w:uiPriority w:val="99"/>
    <w:semiHidden/>
    <w:unhideWhenUsed/>
    <w:rsid w:val="008B4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D7"/>
    <w:rPr>
      <w:rFonts w:ascii="Segoe UI" w:hAnsi="Segoe UI" w:cs="Segoe UI"/>
      <w:sz w:val="18"/>
      <w:szCs w:val="18"/>
    </w:rPr>
  </w:style>
  <w:style w:type="paragraph" w:styleId="NormalWeb">
    <w:name w:val="Normal (Web)"/>
    <w:basedOn w:val="Normal"/>
    <w:uiPriority w:val="99"/>
    <w:unhideWhenUsed/>
    <w:rsid w:val="00DB11FD"/>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9B6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8F2"/>
    <w:rPr>
      <w:sz w:val="20"/>
      <w:szCs w:val="20"/>
    </w:rPr>
  </w:style>
  <w:style w:type="character" w:styleId="EndnoteReference">
    <w:name w:val="endnote reference"/>
    <w:basedOn w:val="DefaultParagraphFont"/>
    <w:uiPriority w:val="99"/>
    <w:semiHidden/>
    <w:unhideWhenUsed/>
    <w:rsid w:val="009B68F2"/>
    <w:rPr>
      <w:vertAlign w:val="superscript"/>
    </w:rPr>
  </w:style>
  <w:style w:type="character" w:styleId="Strong">
    <w:name w:val="Strong"/>
    <w:basedOn w:val="DefaultParagraphFont"/>
    <w:uiPriority w:val="22"/>
    <w:qFormat/>
    <w:rsid w:val="00867EEB"/>
    <w:rPr>
      <w:b/>
      <w:bCs/>
    </w:rPr>
  </w:style>
  <w:style w:type="table" w:styleId="TableGrid">
    <w:name w:val="Table Grid"/>
    <w:basedOn w:val="TableNormal"/>
    <w:uiPriority w:val="39"/>
    <w:rsid w:val="00C7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63265"/>
    <w:rPr>
      <w:rFonts w:ascii="Times New Roman" w:eastAsia="Times New Roman" w:hAnsi="Times New Roman" w:cs="Times New Roman"/>
      <w:b/>
      <w:bCs/>
      <w:sz w:val="24"/>
      <w:szCs w:val="24"/>
    </w:rPr>
  </w:style>
  <w:style w:type="paragraph" w:styleId="BodyText">
    <w:name w:val="Body Text"/>
    <w:basedOn w:val="Normal"/>
    <w:link w:val="BodyTextChar"/>
    <w:rsid w:val="008632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32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2B"/>
  </w:style>
  <w:style w:type="paragraph" w:styleId="Footer">
    <w:name w:val="footer"/>
    <w:basedOn w:val="Normal"/>
    <w:link w:val="FooterChar"/>
    <w:uiPriority w:val="99"/>
    <w:unhideWhenUsed/>
    <w:rsid w:val="006B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0154">
      <w:bodyDiv w:val="1"/>
      <w:marLeft w:val="0"/>
      <w:marRight w:val="0"/>
      <w:marTop w:val="0"/>
      <w:marBottom w:val="0"/>
      <w:divBdr>
        <w:top w:val="none" w:sz="0" w:space="0" w:color="auto"/>
        <w:left w:val="none" w:sz="0" w:space="0" w:color="auto"/>
        <w:bottom w:val="none" w:sz="0" w:space="0" w:color="auto"/>
        <w:right w:val="none" w:sz="0" w:space="0" w:color="auto"/>
      </w:divBdr>
      <w:divsChild>
        <w:div w:id="2047680140">
          <w:marLeft w:val="0"/>
          <w:marRight w:val="0"/>
          <w:marTop w:val="0"/>
          <w:marBottom w:val="0"/>
          <w:divBdr>
            <w:top w:val="none" w:sz="0" w:space="0" w:color="auto"/>
            <w:left w:val="none" w:sz="0" w:space="0" w:color="auto"/>
            <w:bottom w:val="none" w:sz="0" w:space="0" w:color="auto"/>
            <w:right w:val="none" w:sz="0" w:space="0" w:color="auto"/>
          </w:divBdr>
        </w:div>
      </w:divsChild>
    </w:div>
    <w:div w:id="16746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1F0E-ED6D-5C46-915F-31C311EA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11614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MUNIZ, FERNANDO</dc:creator>
  <cp:lastModifiedBy>Kelly T</cp:lastModifiedBy>
  <cp:revision>2</cp:revision>
  <cp:lastPrinted>2016-05-11T19:37:00Z</cp:lastPrinted>
  <dcterms:created xsi:type="dcterms:W3CDTF">2016-09-12T17:53:00Z</dcterms:created>
  <dcterms:modified xsi:type="dcterms:W3CDTF">2016-09-12T17:53:00Z</dcterms:modified>
</cp:coreProperties>
</file>